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89" w:rsidRDefault="006A6889" w:rsidP="006A6889">
      <w:pPr>
        <w:spacing w:line="100" w:lineRule="atLeast"/>
        <w:rPr>
          <w:b/>
          <w:sz w:val="22"/>
          <w:szCs w:val="22"/>
        </w:rPr>
      </w:pPr>
    </w:p>
    <w:p w:rsidR="006A6889" w:rsidRDefault="006A6889" w:rsidP="006A6889">
      <w:pPr>
        <w:spacing w:line="100" w:lineRule="atLeast"/>
        <w:rPr>
          <w:color w:val="000000"/>
          <w:sz w:val="22"/>
          <w:szCs w:val="22"/>
        </w:rPr>
      </w:pPr>
      <w:r>
        <w:rPr>
          <w:b/>
          <w:sz w:val="22"/>
          <w:szCs w:val="22"/>
        </w:rPr>
        <w:t>NOTES TO THE INTERIM FINANCIAL REPORT</w:t>
      </w:r>
    </w:p>
    <w:p w:rsidR="006A6889" w:rsidRDefault="006A6889" w:rsidP="006A6889">
      <w:pPr>
        <w:spacing w:line="100" w:lineRule="atLeast"/>
        <w:jc w:val="both"/>
        <w:rPr>
          <w:color w:val="000000"/>
          <w:sz w:val="22"/>
          <w:szCs w:val="22"/>
        </w:rPr>
      </w:pPr>
    </w:p>
    <w:p w:rsidR="006A6889" w:rsidRDefault="006A6889" w:rsidP="006A6889">
      <w:pPr>
        <w:pStyle w:val="BodyTextIndent3"/>
        <w:spacing w:line="100" w:lineRule="atLeast"/>
        <w:ind w:left="0" w:firstLine="0"/>
        <w:rPr>
          <w:szCs w:val="22"/>
        </w:rPr>
      </w:pPr>
      <w:r>
        <w:rPr>
          <w:b/>
          <w:szCs w:val="22"/>
        </w:rPr>
        <w:t>A1.</w:t>
      </w:r>
      <w:r>
        <w:rPr>
          <w:b/>
          <w:szCs w:val="22"/>
        </w:rPr>
        <w:tab/>
        <w:t>Basis of Preparation</w:t>
      </w:r>
    </w:p>
    <w:p w:rsidR="006A6889" w:rsidRDefault="006A6889" w:rsidP="006A6889">
      <w:pPr>
        <w:pStyle w:val="BodyTextIndent3"/>
        <w:spacing w:line="100" w:lineRule="atLeast"/>
        <w:ind w:firstLine="0"/>
        <w:rPr>
          <w:szCs w:val="22"/>
        </w:rPr>
      </w:pPr>
    </w:p>
    <w:p w:rsidR="006A6889" w:rsidRDefault="006A6889" w:rsidP="006A6889">
      <w:pPr>
        <w:spacing w:line="100" w:lineRule="atLeast"/>
        <w:ind w:left="720"/>
        <w:jc w:val="both"/>
        <w:rPr>
          <w:szCs w:val="22"/>
        </w:rPr>
      </w:pPr>
      <w:r>
        <w:rPr>
          <w:sz w:val="22"/>
          <w:szCs w:val="24"/>
        </w:rPr>
        <w:t>These condensed consolidated interim financial statements have been prepared in accordance with the applicable disclosure provisions of the Listing Requirements of the Bursa Malaysia Securities Berhad and MFRS 134, Interim Financial Reporting in Malaysia and with IAS 34, Interim Financial Reporting.  They do not include all information required for full annual financial statements, and should be read in conjunction with the consolidated financial statements of the Group as at and for the year ended 30 September 2014.</w:t>
      </w:r>
    </w:p>
    <w:p w:rsidR="006A6889" w:rsidRDefault="006A6889" w:rsidP="006A6889">
      <w:pPr>
        <w:pStyle w:val="BodyTextIndent3"/>
        <w:spacing w:line="100" w:lineRule="atLeast"/>
        <w:ind w:firstLine="0"/>
        <w:rPr>
          <w:szCs w:val="22"/>
        </w:rPr>
      </w:pPr>
    </w:p>
    <w:p w:rsidR="006A6889" w:rsidRDefault="006A6889" w:rsidP="006A6889">
      <w:pPr>
        <w:pStyle w:val="BodyTextIndent3"/>
        <w:spacing w:line="100" w:lineRule="atLeast"/>
        <w:ind w:firstLine="0"/>
        <w:rPr>
          <w:szCs w:val="22"/>
        </w:rPr>
      </w:pPr>
      <w:r>
        <w:rPr>
          <w:szCs w:val="22"/>
        </w:rPr>
        <w:t xml:space="preserve">This interim financial report should be read in conjunction with the annual audited Financial Statements of the Group for the financial year ended 30 September 2014. </w:t>
      </w:r>
    </w:p>
    <w:p w:rsidR="006A6889" w:rsidRDefault="006A6889" w:rsidP="006A6889">
      <w:pPr>
        <w:pStyle w:val="BodyTextIndent3"/>
        <w:spacing w:line="100" w:lineRule="atLeast"/>
        <w:ind w:firstLine="0"/>
        <w:rPr>
          <w:szCs w:val="22"/>
        </w:rPr>
      </w:pPr>
    </w:p>
    <w:p w:rsidR="006A6889" w:rsidRDefault="006A6889" w:rsidP="006A6889">
      <w:pPr>
        <w:pStyle w:val="BodyTextIndent3"/>
        <w:spacing w:line="100" w:lineRule="atLeast"/>
        <w:ind w:firstLine="0"/>
        <w:rPr>
          <w:bCs/>
          <w:szCs w:val="22"/>
        </w:rPr>
      </w:pPr>
      <w:r>
        <w:rPr>
          <w:szCs w:val="22"/>
        </w:rPr>
        <w:t>The explanatory notes attached to the interim financial report provide an explanation of the events and transactions that are significant to an understanding of the changes in the financial position and performance of the Group since the financial year ended 30 September 2014.</w:t>
      </w:r>
    </w:p>
    <w:p w:rsidR="006A6889" w:rsidRDefault="006A6889" w:rsidP="006A6889">
      <w:pPr>
        <w:pStyle w:val="BodyTextIndent3"/>
        <w:spacing w:line="100" w:lineRule="atLeast"/>
        <w:ind w:left="0" w:firstLine="0"/>
        <w:rPr>
          <w:bCs/>
          <w:szCs w:val="22"/>
        </w:rPr>
      </w:pPr>
    </w:p>
    <w:p w:rsidR="006A6889" w:rsidRDefault="006A6889" w:rsidP="006A6889">
      <w:pPr>
        <w:pStyle w:val="BodyTextIndent3"/>
        <w:spacing w:line="100" w:lineRule="atLeast"/>
        <w:ind w:firstLine="0"/>
        <w:rPr>
          <w:b/>
          <w:szCs w:val="22"/>
        </w:rPr>
      </w:pPr>
      <w:r>
        <w:rPr>
          <w:bCs/>
          <w:szCs w:val="22"/>
        </w:rPr>
        <w:t xml:space="preserve">       </w:t>
      </w:r>
    </w:p>
    <w:p w:rsidR="006A6889" w:rsidRDefault="006A6889" w:rsidP="006A6889">
      <w:pPr>
        <w:pStyle w:val="BodyTextIndent3"/>
        <w:spacing w:line="100" w:lineRule="atLeast"/>
        <w:rPr>
          <w:b/>
          <w:szCs w:val="22"/>
        </w:rPr>
      </w:pPr>
      <w:r>
        <w:rPr>
          <w:b/>
          <w:szCs w:val="22"/>
        </w:rPr>
        <w:t>A2.</w:t>
      </w:r>
      <w:r>
        <w:rPr>
          <w:b/>
          <w:szCs w:val="22"/>
        </w:rPr>
        <w:tab/>
        <w:t>Declaration of Audit Qualification</w:t>
      </w:r>
    </w:p>
    <w:p w:rsidR="006A6889" w:rsidRDefault="006A6889" w:rsidP="006A6889">
      <w:pPr>
        <w:pStyle w:val="BodyTextIndent3"/>
        <w:spacing w:line="100" w:lineRule="atLeast"/>
        <w:ind w:firstLine="0"/>
        <w:rPr>
          <w:b/>
          <w:szCs w:val="22"/>
        </w:rPr>
      </w:pPr>
    </w:p>
    <w:p w:rsidR="006A6889" w:rsidRDefault="006A6889" w:rsidP="006A6889">
      <w:pPr>
        <w:pStyle w:val="BodyTextIndent3"/>
        <w:spacing w:line="100" w:lineRule="atLeast"/>
        <w:ind w:firstLine="0"/>
        <w:rPr>
          <w:b/>
          <w:szCs w:val="22"/>
        </w:rPr>
      </w:pPr>
      <w:r>
        <w:rPr>
          <w:szCs w:val="22"/>
        </w:rPr>
        <w:t>The auditors had qualified the financial report as at 30 September 2014.</w:t>
      </w:r>
    </w:p>
    <w:p w:rsidR="006A6889" w:rsidRDefault="006A6889" w:rsidP="006A6889">
      <w:pPr>
        <w:pStyle w:val="BodyTextIndent3"/>
        <w:spacing w:line="100" w:lineRule="atLeast"/>
        <w:ind w:firstLine="0"/>
        <w:rPr>
          <w:b/>
          <w:szCs w:val="22"/>
        </w:rPr>
      </w:pPr>
    </w:p>
    <w:p w:rsidR="006A6889" w:rsidRDefault="006A6889" w:rsidP="006A6889">
      <w:pPr>
        <w:pStyle w:val="BodyTextIndent3"/>
        <w:spacing w:line="100" w:lineRule="atLeast"/>
        <w:ind w:firstLine="0"/>
        <w:rPr>
          <w:b/>
          <w:szCs w:val="22"/>
        </w:rPr>
      </w:pPr>
    </w:p>
    <w:p w:rsidR="006A6889" w:rsidRDefault="006A6889" w:rsidP="006A6889">
      <w:pPr>
        <w:pStyle w:val="BodyTextIndent2"/>
        <w:spacing w:line="100" w:lineRule="atLeast"/>
        <w:ind w:hanging="720"/>
        <w:rPr>
          <w:b/>
        </w:rPr>
      </w:pPr>
      <w:r>
        <w:rPr>
          <w:b/>
        </w:rPr>
        <w:t>A3.</w:t>
      </w:r>
      <w:r>
        <w:rPr>
          <w:b/>
        </w:rPr>
        <w:tab/>
        <w:t>Seasonal or Cyclical Factors</w:t>
      </w:r>
    </w:p>
    <w:p w:rsidR="006A6889" w:rsidRDefault="006A6889" w:rsidP="006A6889">
      <w:pPr>
        <w:pStyle w:val="BodyTextIndent2"/>
        <w:spacing w:line="100" w:lineRule="atLeast"/>
        <w:rPr>
          <w:b/>
        </w:rPr>
      </w:pPr>
    </w:p>
    <w:p w:rsidR="006A6889" w:rsidRDefault="006A6889" w:rsidP="006A6889">
      <w:pPr>
        <w:pStyle w:val="BodyTextIndent2"/>
        <w:spacing w:line="100" w:lineRule="atLeast"/>
      </w:pPr>
      <w:r>
        <w:t xml:space="preserve">The performance and the business operations within the Group were not significantly affected by any material seasonal or cyclical factors for the financial period ended </w:t>
      </w:r>
      <w:r w:rsidR="0020167C">
        <w:t>30</w:t>
      </w:r>
      <w:r w:rsidR="002C25D2">
        <w:rPr>
          <w:vertAlign w:val="superscript"/>
        </w:rPr>
        <w:t xml:space="preserve">  </w:t>
      </w:r>
      <w:r w:rsidR="002C25D2">
        <w:t xml:space="preserve"> September 2015.</w:t>
      </w:r>
    </w:p>
    <w:p w:rsidR="006A6889" w:rsidRDefault="006A6889" w:rsidP="006A6889">
      <w:pPr>
        <w:pStyle w:val="BodyTextIndent2"/>
        <w:spacing w:line="100" w:lineRule="atLeast"/>
      </w:pPr>
    </w:p>
    <w:p w:rsidR="006A6889" w:rsidRDefault="006A6889" w:rsidP="006A6889">
      <w:pPr>
        <w:pStyle w:val="BodyTextIndent"/>
        <w:spacing w:line="100" w:lineRule="atLeast"/>
      </w:pPr>
    </w:p>
    <w:p w:rsidR="006A6889" w:rsidRDefault="006A6889" w:rsidP="006A6889">
      <w:pPr>
        <w:pStyle w:val="BodyTextIndent"/>
        <w:spacing w:line="100" w:lineRule="atLeast"/>
      </w:pPr>
      <w:r>
        <w:t>A4.</w:t>
      </w:r>
      <w:r>
        <w:tab/>
        <w:t>Nature and Amount of Items Affecting Assets, Liabilities, Equity, Net Income or Cash Flows that are unusual because of their Nature, Size or Incidence</w:t>
      </w:r>
    </w:p>
    <w:p w:rsidR="006A6889" w:rsidRDefault="006A6889" w:rsidP="006A6889">
      <w:pPr>
        <w:spacing w:line="100" w:lineRule="atLeast"/>
        <w:ind w:left="720"/>
        <w:jc w:val="both"/>
        <w:rPr>
          <w:b/>
          <w:color w:val="000000"/>
          <w:sz w:val="22"/>
          <w:szCs w:val="22"/>
        </w:rPr>
      </w:pPr>
    </w:p>
    <w:p w:rsidR="006A6889" w:rsidRDefault="006A6889" w:rsidP="006A6889">
      <w:pPr>
        <w:spacing w:line="100" w:lineRule="atLeast"/>
        <w:ind w:left="720"/>
        <w:jc w:val="both"/>
        <w:rPr>
          <w:b/>
          <w:color w:val="000000"/>
          <w:sz w:val="22"/>
          <w:szCs w:val="22"/>
        </w:rPr>
      </w:pPr>
      <w:r>
        <w:rPr>
          <w:color w:val="000000"/>
          <w:sz w:val="22"/>
          <w:szCs w:val="22"/>
        </w:rPr>
        <w:t>There was no unusual item affecting the Group for the financial pe</w:t>
      </w:r>
      <w:r w:rsidR="00484B43">
        <w:rPr>
          <w:color w:val="000000"/>
          <w:sz w:val="22"/>
          <w:szCs w:val="22"/>
        </w:rPr>
        <w:t>riod ended 30 September</w:t>
      </w:r>
      <w:r w:rsidR="005A3636">
        <w:rPr>
          <w:color w:val="000000"/>
          <w:sz w:val="22"/>
          <w:szCs w:val="22"/>
        </w:rPr>
        <w:t xml:space="preserve"> 2015 except item A6 below.</w:t>
      </w:r>
    </w:p>
    <w:p w:rsidR="006A6889" w:rsidRDefault="006A6889" w:rsidP="006A6889">
      <w:pPr>
        <w:spacing w:line="100" w:lineRule="atLeast"/>
        <w:ind w:left="720"/>
        <w:jc w:val="both"/>
        <w:rPr>
          <w:b/>
          <w:color w:val="000000"/>
          <w:sz w:val="22"/>
          <w:szCs w:val="22"/>
        </w:rPr>
      </w:pPr>
    </w:p>
    <w:p w:rsidR="006A6889" w:rsidRDefault="006A6889" w:rsidP="006A6889">
      <w:pPr>
        <w:spacing w:line="100" w:lineRule="atLeast"/>
        <w:ind w:left="720" w:hanging="720"/>
        <w:jc w:val="both"/>
        <w:rPr>
          <w:b/>
          <w:color w:val="000000"/>
          <w:sz w:val="22"/>
          <w:szCs w:val="22"/>
        </w:rPr>
      </w:pPr>
    </w:p>
    <w:p w:rsidR="006A6889" w:rsidRDefault="006A6889" w:rsidP="006A6889">
      <w:pPr>
        <w:spacing w:line="100" w:lineRule="atLeast"/>
        <w:ind w:left="720" w:hanging="720"/>
        <w:jc w:val="both"/>
        <w:rPr>
          <w:b/>
          <w:color w:val="000000"/>
          <w:sz w:val="22"/>
          <w:szCs w:val="22"/>
        </w:rPr>
      </w:pPr>
      <w:r>
        <w:rPr>
          <w:b/>
          <w:color w:val="000000"/>
          <w:sz w:val="22"/>
          <w:szCs w:val="22"/>
        </w:rPr>
        <w:t>A5.</w:t>
      </w:r>
      <w:r>
        <w:rPr>
          <w:b/>
          <w:color w:val="000000"/>
          <w:sz w:val="22"/>
          <w:szCs w:val="22"/>
        </w:rPr>
        <w:tab/>
        <w:t>Nature and Amount of Changes in estimates reported in prior Interim Periods of the current Financial Year or prior Financial Year which may have a material effect in the current Interim Period</w:t>
      </w:r>
    </w:p>
    <w:p w:rsidR="006A6889" w:rsidRDefault="006A6889" w:rsidP="006A6889">
      <w:pPr>
        <w:spacing w:line="100" w:lineRule="atLeast"/>
        <w:ind w:left="720"/>
        <w:jc w:val="both"/>
        <w:rPr>
          <w:b/>
          <w:color w:val="000000"/>
          <w:sz w:val="22"/>
          <w:szCs w:val="22"/>
        </w:rPr>
      </w:pPr>
    </w:p>
    <w:p w:rsidR="006A6889" w:rsidRDefault="006A6889" w:rsidP="006A6889">
      <w:pPr>
        <w:spacing w:line="100" w:lineRule="atLeast"/>
        <w:ind w:left="720"/>
        <w:jc w:val="both"/>
        <w:rPr>
          <w:b/>
          <w:color w:val="000000"/>
          <w:sz w:val="22"/>
          <w:szCs w:val="22"/>
        </w:rPr>
      </w:pPr>
      <w:r>
        <w:rPr>
          <w:color w:val="000000"/>
          <w:sz w:val="22"/>
          <w:szCs w:val="22"/>
        </w:rPr>
        <w:t>There were no material changes in the estimates for the</w:t>
      </w:r>
      <w:r w:rsidR="00484B43">
        <w:rPr>
          <w:color w:val="000000"/>
          <w:sz w:val="22"/>
          <w:szCs w:val="22"/>
        </w:rPr>
        <w:t xml:space="preserve"> financial period ended 30 September</w:t>
      </w:r>
      <w:r w:rsidR="00BF050F">
        <w:rPr>
          <w:color w:val="000000"/>
          <w:sz w:val="22"/>
          <w:szCs w:val="22"/>
        </w:rPr>
        <w:t xml:space="preserve"> </w:t>
      </w:r>
      <w:r>
        <w:rPr>
          <w:color w:val="000000"/>
          <w:sz w:val="22"/>
          <w:szCs w:val="22"/>
        </w:rPr>
        <w:t xml:space="preserve">2015. </w:t>
      </w:r>
    </w:p>
    <w:p w:rsidR="006A6889" w:rsidRDefault="006A6889" w:rsidP="006A6889">
      <w:pPr>
        <w:spacing w:line="100" w:lineRule="atLeast"/>
        <w:ind w:left="720"/>
        <w:jc w:val="both"/>
        <w:rPr>
          <w:b/>
          <w:color w:val="000000"/>
          <w:sz w:val="22"/>
          <w:szCs w:val="22"/>
        </w:rPr>
      </w:pPr>
    </w:p>
    <w:p w:rsidR="006A6889" w:rsidRDefault="006A6889" w:rsidP="006A6889">
      <w:pPr>
        <w:spacing w:line="100" w:lineRule="atLeast"/>
        <w:ind w:left="720" w:hanging="720"/>
        <w:jc w:val="both"/>
        <w:rPr>
          <w:b/>
          <w:color w:val="000000"/>
          <w:sz w:val="22"/>
          <w:szCs w:val="22"/>
        </w:rPr>
      </w:pPr>
    </w:p>
    <w:p w:rsidR="006A6889" w:rsidRDefault="006A6889" w:rsidP="006A6889">
      <w:pPr>
        <w:spacing w:line="100" w:lineRule="atLeast"/>
        <w:ind w:left="720" w:hanging="720"/>
        <w:jc w:val="both"/>
        <w:rPr>
          <w:b/>
          <w:color w:val="FF0000"/>
          <w:sz w:val="22"/>
          <w:szCs w:val="22"/>
        </w:rPr>
      </w:pPr>
      <w:r>
        <w:rPr>
          <w:b/>
          <w:sz w:val="22"/>
          <w:szCs w:val="22"/>
        </w:rPr>
        <w:t>A6.</w:t>
      </w:r>
      <w:r>
        <w:rPr>
          <w:b/>
          <w:sz w:val="22"/>
          <w:szCs w:val="22"/>
        </w:rPr>
        <w:tab/>
        <w:t>Issuance, Cancellation, Repurchases, Resale and Repayments of Debt and Equity Securities</w:t>
      </w:r>
    </w:p>
    <w:p w:rsidR="006A6889" w:rsidRDefault="006A6889" w:rsidP="006A6889">
      <w:pPr>
        <w:spacing w:line="100" w:lineRule="atLeast"/>
        <w:ind w:left="720"/>
        <w:jc w:val="both"/>
        <w:rPr>
          <w:b/>
          <w:color w:val="FF0000"/>
          <w:sz w:val="22"/>
          <w:szCs w:val="22"/>
        </w:rPr>
      </w:pPr>
    </w:p>
    <w:p w:rsidR="006A6889" w:rsidRDefault="006A6889" w:rsidP="006A6889">
      <w:pPr>
        <w:spacing w:line="100" w:lineRule="atLeast"/>
        <w:ind w:left="720"/>
        <w:jc w:val="both"/>
        <w:rPr>
          <w:color w:val="000000"/>
          <w:sz w:val="22"/>
          <w:szCs w:val="22"/>
        </w:rPr>
      </w:pPr>
      <w:r>
        <w:rPr>
          <w:sz w:val="22"/>
        </w:rPr>
        <w:t>On 7</w:t>
      </w:r>
      <w:r w:rsidR="00BF050F">
        <w:rPr>
          <w:sz w:val="22"/>
        </w:rPr>
        <w:t xml:space="preserve"> </w:t>
      </w:r>
      <w:r>
        <w:rPr>
          <w:sz w:val="22"/>
        </w:rPr>
        <w:t>October 2014, Stone Master Corporation Berhad (</w:t>
      </w:r>
      <w:r w:rsidR="0020167C">
        <w:rPr>
          <w:sz w:val="22"/>
        </w:rPr>
        <w:t>“the</w:t>
      </w:r>
      <w:r>
        <w:rPr>
          <w:sz w:val="22"/>
        </w:rPr>
        <w:t xml:space="preserve"> Company”) had </w:t>
      </w:r>
      <w:r>
        <w:rPr>
          <w:color w:val="000000"/>
          <w:sz w:val="22"/>
          <w:szCs w:val="22"/>
        </w:rPr>
        <w:t xml:space="preserve">obtained the approval from the High Court confirming that capital reduction of the paid–up share capital with cancellation of RM0.25 of the par value of each ordinary share of RM0.50 each. As a </w:t>
      </w:r>
      <w:r>
        <w:rPr>
          <w:color w:val="000000"/>
          <w:sz w:val="22"/>
          <w:szCs w:val="22"/>
        </w:rPr>
        <w:lastRenderedPageBreak/>
        <w:t>result, the issued and paid-up share capital of the Group before the co</w:t>
      </w:r>
      <w:r w:rsidR="00BF050F">
        <w:rPr>
          <w:color w:val="000000"/>
          <w:sz w:val="22"/>
          <w:szCs w:val="22"/>
        </w:rPr>
        <w:t>mpletion of Rights Issue amount</w:t>
      </w:r>
      <w:r>
        <w:rPr>
          <w:color w:val="000000"/>
          <w:sz w:val="22"/>
          <w:szCs w:val="22"/>
        </w:rPr>
        <w:t xml:space="preserve"> to RM11.55 million comprising 46,200,000 ordinary shares of RM0.25 each share.</w:t>
      </w:r>
    </w:p>
    <w:p w:rsidR="006A6889" w:rsidRDefault="006A6889" w:rsidP="00484B43">
      <w:pPr>
        <w:spacing w:line="100" w:lineRule="atLeast"/>
        <w:jc w:val="both"/>
        <w:rPr>
          <w:color w:val="000000"/>
          <w:sz w:val="22"/>
          <w:szCs w:val="22"/>
        </w:rPr>
      </w:pPr>
    </w:p>
    <w:p w:rsidR="006A6889" w:rsidRDefault="006A6889" w:rsidP="006A6889">
      <w:pPr>
        <w:spacing w:line="100" w:lineRule="atLeast"/>
        <w:ind w:left="720"/>
        <w:jc w:val="both"/>
        <w:rPr>
          <w:sz w:val="22"/>
          <w:szCs w:val="22"/>
        </w:rPr>
      </w:pPr>
      <w:r>
        <w:rPr>
          <w:color w:val="000000"/>
          <w:sz w:val="22"/>
          <w:szCs w:val="22"/>
        </w:rPr>
        <w:t>On 29 June 2015, the Company had successfully achieved subscription of new ordinary share of 43,705,177 at the rate of RM0.30 each (inclusive of share premium of RM0.05 per share) through the Rights Issue exercise. The total new issued and paid up share capital of the Co</w:t>
      </w:r>
      <w:r w:rsidR="00BF050F">
        <w:rPr>
          <w:color w:val="000000"/>
          <w:sz w:val="22"/>
          <w:szCs w:val="22"/>
        </w:rPr>
        <w:t>mpany as at 29 June 2015 amount</w:t>
      </w:r>
      <w:r>
        <w:rPr>
          <w:color w:val="000000"/>
          <w:sz w:val="22"/>
          <w:szCs w:val="22"/>
        </w:rPr>
        <w:t xml:space="preserve"> to RM 22,476,294.25 comprising total ordinary share 89,905,177 of RM0.25 each share. On the same date, the Company has also admitted the listing of and quotation for the 21,852,588 warrants on the Main Market of Bursa Securities. </w:t>
      </w:r>
    </w:p>
    <w:p w:rsidR="006A6889" w:rsidRDefault="006A6889" w:rsidP="006A6889">
      <w:pPr>
        <w:spacing w:line="100" w:lineRule="atLeast"/>
        <w:jc w:val="both"/>
        <w:rPr>
          <w:sz w:val="22"/>
          <w:szCs w:val="22"/>
        </w:rPr>
      </w:pPr>
    </w:p>
    <w:p w:rsidR="006A6889" w:rsidRDefault="006A6889" w:rsidP="006A6889">
      <w:pPr>
        <w:spacing w:line="100" w:lineRule="atLeast"/>
        <w:jc w:val="both"/>
        <w:rPr>
          <w:b/>
          <w:sz w:val="22"/>
        </w:rPr>
      </w:pPr>
    </w:p>
    <w:p w:rsidR="006A6889" w:rsidRDefault="006A6889" w:rsidP="006A6889">
      <w:pPr>
        <w:spacing w:line="100" w:lineRule="atLeast"/>
        <w:jc w:val="both"/>
        <w:rPr>
          <w:b/>
          <w:sz w:val="22"/>
        </w:rPr>
      </w:pPr>
      <w:r>
        <w:rPr>
          <w:b/>
          <w:sz w:val="22"/>
        </w:rPr>
        <w:t>A7.</w:t>
      </w:r>
      <w:r>
        <w:rPr>
          <w:b/>
          <w:sz w:val="22"/>
        </w:rPr>
        <w:tab/>
        <w:t xml:space="preserve">Dividend Paid </w:t>
      </w:r>
    </w:p>
    <w:p w:rsidR="006A6889" w:rsidRDefault="006A6889" w:rsidP="006A6889">
      <w:pPr>
        <w:spacing w:line="100" w:lineRule="atLeast"/>
        <w:ind w:left="720"/>
        <w:jc w:val="both"/>
        <w:rPr>
          <w:b/>
          <w:sz w:val="22"/>
        </w:rPr>
      </w:pPr>
    </w:p>
    <w:p w:rsidR="006A6889" w:rsidRDefault="006A6889" w:rsidP="006A6889">
      <w:pPr>
        <w:spacing w:line="100" w:lineRule="atLeast"/>
        <w:ind w:left="720"/>
        <w:jc w:val="both"/>
        <w:rPr>
          <w:sz w:val="22"/>
        </w:rPr>
      </w:pPr>
      <w:r>
        <w:rPr>
          <w:sz w:val="22"/>
        </w:rPr>
        <w:t>No interim dividend was paid by the Company for th</w:t>
      </w:r>
      <w:r w:rsidR="00484B43">
        <w:rPr>
          <w:sz w:val="22"/>
        </w:rPr>
        <w:t>e financial period ended 30 September</w:t>
      </w:r>
      <w:r>
        <w:rPr>
          <w:sz w:val="22"/>
        </w:rPr>
        <w:t xml:space="preserve"> 2015. </w:t>
      </w:r>
    </w:p>
    <w:p w:rsidR="006A6889" w:rsidRDefault="006A6889" w:rsidP="006A6889">
      <w:pPr>
        <w:spacing w:line="100" w:lineRule="atLeast"/>
        <w:ind w:left="720"/>
        <w:jc w:val="both"/>
        <w:rPr>
          <w:sz w:val="22"/>
        </w:rPr>
      </w:pPr>
    </w:p>
    <w:p w:rsidR="006A6889" w:rsidRDefault="006A6889" w:rsidP="006A6889">
      <w:pPr>
        <w:spacing w:line="100" w:lineRule="atLeast"/>
        <w:ind w:left="720"/>
        <w:jc w:val="both"/>
      </w:pPr>
    </w:p>
    <w:p w:rsidR="006A6889" w:rsidRDefault="006A6889" w:rsidP="006A6889">
      <w:pPr>
        <w:spacing w:line="100" w:lineRule="atLeast"/>
        <w:jc w:val="both"/>
      </w:pPr>
      <w:r>
        <w:rPr>
          <w:b/>
          <w:bCs/>
          <w:sz w:val="22"/>
          <w:szCs w:val="22"/>
        </w:rPr>
        <w:t>A8.</w:t>
      </w:r>
      <w:r>
        <w:rPr>
          <w:sz w:val="22"/>
          <w:szCs w:val="22"/>
        </w:rPr>
        <w:tab/>
      </w:r>
      <w:r>
        <w:rPr>
          <w:b/>
          <w:bCs/>
          <w:sz w:val="22"/>
          <w:szCs w:val="22"/>
        </w:rPr>
        <w:t>Segmental Reporting</w:t>
      </w:r>
      <w:r>
        <w:t xml:space="preserve"> </w:t>
      </w:r>
    </w:p>
    <w:p w:rsidR="006A6889" w:rsidRDefault="006A6889" w:rsidP="006A6889">
      <w:pPr>
        <w:spacing w:line="100" w:lineRule="atLeast"/>
      </w:pPr>
    </w:p>
    <w:p w:rsidR="006A6889" w:rsidRDefault="006A6889" w:rsidP="006A6889">
      <w:pPr>
        <w:spacing w:line="100" w:lineRule="atLeast"/>
        <w:ind w:left="720"/>
        <w:jc w:val="both"/>
        <w:rPr>
          <w:b/>
          <w:sz w:val="22"/>
          <w:szCs w:val="22"/>
        </w:rPr>
      </w:pPr>
      <w:r>
        <w:rPr>
          <w:sz w:val="22"/>
          <w:szCs w:val="22"/>
        </w:rPr>
        <w:t>No geographical segmental analysis is presented as the Group operates principally within one industry wholly in Malaysia.</w:t>
      </w:r>
    </w:p>
    <w:p w:rsidR="006A6889" w:rsidRDefault="006A6889" w:rsidP="006A6889">
      <w:pPr>
        <w:spacing w:line="100" w:lineRule="atLeast"/>
        <w:ind w:left="720"/>
        <w:jc w:val="both"/>
        <w:rPr>
          <w:b/>
          <w:sz w:val="22"/>
          <w:szCs w:val="22"/>
        </w:rPr>
      </w:pPr>
    </w:p>
    <w:p w:rsidR="006A6889" w:rsidRDefault="006A6889" w:rsidP="006A6889">
      <w:pPr>
        <w:spacing w:line="100" w:lineRule="atLeast"/>
        <w:ind w:left="720"/>
        <w:jc w:val="both"/>
        <w:rPr>
          <w:b/>
          <w:sz w:val="22"/>
          <w:szCs w:val="22"/>
        </w:rPr>
      </w:pPr>
    </w:p>
    <w:p w:rsidR="006A6889" w:rsidRDefault="006A6889" w:rsidP="006A6889">
      <w:pPr>
        <w:spacing w:line="100" w:lineRule="atLeast"/>
        <w:jc w:val="both"/>
        <w:rPr>
          <w:b/>
          <w:sz w:val="22"/>
        </w:rPr>
      </w:pPr>
      <w:r>
        <w:rPr>
          <w:b/>
          <w:sz w:val="22"/>
          <w:szCs w:val="22"/>
        </w:rPr>
        <w:t>A9.</w:t>
      </w:r>
      <w:r>
        <w:rPr>
          <w:b/>
          <w:sz w:val="22"/>
          <w:szCs w:val="22"/>
        </w:rPr>
        <w:tab/>
        <w:t>Valuation of Property, Plant and Equipment</w:t>
      </w:r>
    </w:p>
    <w:p w:rsidR="006A6889" w:rsidRDefault="006A6889" w:rsidP="006A6889">
      <w:pPr>
        <w:spacing w:line="100" w:lineRule="atLeast"/>
        <w:ind w:left="720"/>
        <w:jc w:val="both"/>
        <w:rPr>
          <w:b/>
          <w:sz w:val="22"/>
        </w:rPr>
      </w:pPr>
    </w:p>
    <w:p w:rsidR="006A6889" w:rsidRDefault="006A6889" w:rsidP="006A6889">
      <w:pPr>
        <w:spacing w:line="100" w:lineRule="atLeast"/>
        <w:ind w:left="720"/>
        <w:jc w:val="both"/>
        <w:rPr>
          <w:sz w:val="22"/>
        </w:rPr>
      </w:pPr>
      <w:r>
        <w:rPr>
          <w:sz w:val="22"/>
        </w:rPr>
        <w:t>The valuation of property and assets of the</w:t>
      </w:r>
      <w:r w:rsidR="00484B43">
        <w:rPr>
          <w:sz w:val="22"/>
        </w:rPr>
        <w:t xml:space="preserve"> Group have been recorded </w:t>
      </w:r>
      <w:r w:rsidR="00677AF0">
        <w:rPr>
          <w:sz w:val="22"/>
        </w:rPr>
        <w:t>at valuation</w:t>
      </w:r>
      <w:r w:rsidR="00484B43">
        <w:rPr>
          <w:sz w:val="22"/>
        </w:rPr>
        <w:t xml:space="preserve"> basis in accordance with the valuation report conducted recently as to this</w:t>
      </w:r>
      <w:r w:rsidR="00BC3108">
        <w:rPr>
          <w:sz w:val="22"/>
        </w:rPr>
        <w:t xml:space="preserve"> </w:t>
      </w:r>
      <w:proofErr w:type="gramStart"/>
      <w:r w:rsidR="00BC3108">
        <w:rPr>
          <w:sz w:val="22"/>
        </w:rPr>
        <w:t xml:space="preserve">financial </w:t>
      </w:r>
      <w:r w:rsidR="00484B43">
        <w:rPr>
          <w:sz w:val="22"/>
        </w:rPr>
        <w:t xml:space="preserve"> period</w:t>
      </w:r>
      <w:proofErr w:type="gramEnd"/>
      <w:r>
        <w:rPr>
          <w:sz w:val="22"/>
        </w:rPr>
        <w:t xml:space="preserve"> ended 30 </w:t>
      </w:r>
      <w:r w:rsidR="00484B43">
        <w:rPr>
          <w:sz w:val="22"/>
        </w:rPr>
        <w:t xml:space="preserve">September </w:t>
      </w:r>
      <w:r>
        <w:rPr>
          <w:sz w:val="22"/>
        </w:rPr>
        <w:t xml:space="preserve">2015. </w:t>
      </w:r>
    </w:p>
    <w:p w:rsidR="006A6889" w:rsidRDefault="006A6889" w:rsidP="006A6889">
      <w:pPr>
        <w:spacing w:line="100" w:lineRule="atLeast"/>
        <w:ind w:left="720"/>
        <w:jc w:val="both"/>
        <w:rPr>
          <w:sz w:val="22"/>
        </w:rPr>
      </w:pPr>
    </w:p>
    <w:p w:rsidR="006A6889" w:rsidRDefault="006A6889" w:rsidP="006A6889">
      <w:pPr>
        <w:spacing w:line="100" w:lineRule="atLeast"/>
        <w:jc w:val="both"/>
        <w:rPr>
          <w:b/>
          <w:sz w:val="22"/>
        </w:rPr>
      </w:pPr>
    </w:p>
    <w:p w:rsidR="006A6889" w:rsidRDefault="006A6889" w:rsidP="006A6889">
      <w:pPr>
        <w:spacing w:line="100" w:lineRule="atLeast"/>
        <w:jc w:val="both"/>
        <w:rPr>
          <w:b/>
          <w:sz w:val="22"/>
          <w:szCs w:val="22"/>
        </w:rPr>
      </w:pPr>
      <w:r>
        <w:rPr>
          <w:b/>
          <w:sz w:val="22"/>
        </w:rPr>
        <w:t>A10.</w:t>
      </w:r>
      <w:r>
        <w:rPr>
          <w:b/>
          <w:sz w:val="22"/>
        </w:rPr>
        <w:tab/>
        <w:t xml:space="preserve">Subsequent Material Events </w:t>
      </w:r>
    </w:p>
    <w:p w:rsidR="006A6889" w:rsidRDefault="006A6889" w:rsidP="006A6889">
      <w:pPr>
        <w:spacing w:line="100" w:lineRule="atLeast"/>
        <w:ind w:left="720"/>
        <w:jc w:val="both"/>
        <w:rPr>
          <w:b/>
          <w:sz w:val="22"/>
          <w:szCs w:val="22"/>
        </w:rPr>
      </w:pPr>
    </w:p>
    <w:p w:rsidR="006A6889" w:rsidRDefault="006A6889" w:rsidP="006A6889">
      <w:pPr>
        <w:spacing w:line="100" w:lineRule="atLeast"/>
        <w:ind w:left="720"/>
        <w:jc w:val="both"/>
      </w:pPr>
      <w:r>
        <w:rPr>
          <w:color w:val="000000"/>
          <w:sz w:val="22"/>
          <w:szCs w:val="22"/>
        </w:rPr>
        <w:t xml:space="preserve">The </w:t>
      </w:r>
      <w:r w:rsidR="00BF050F">
        <w:rPr>
          <w:color w:val="000000"/>
          <w:sz w:val="22"/>
          <w:szCs w:val="22"/>
        </w:rPr>
        <w:t>C</w:t>
      </w:r>
      <w:r w:rsidR="008D3740">
        <w:rPr>
          <w:color w:val="000000"/>
          <w:sz w:val="22"/>
          <w:szCs w:val="22"/>
        </w:rPr>
        <w:t>ompany</w:t>
      </w:r>
      <w:r>
        <w:rPr>
          <w:color w:val="000000"/>
          <w:sz w:val="22"/>
          <w:szCs w:val="22"/>
        </w:rPr>
        <w:t xml:space="preserve"> had, in its ordinary course of business, entered into a Heads of Agreement (HOA) </w:t>
      </w:r>
      <w:r w:rsidR="003D5726">
        <w:rPr>
          <w:color w:val="000000"/>
          <w:sz w:val="22"/>
          <w:szCs w:val="22"/>
        </w:rPr>
        <w:t xml:space="preserve">as per recent Bursa’s announcements </w:t>
      </w:r>
      <w:r>
        <w:rPr>
          <w:color w:val="000000"/>
          <w:sz w:val="22"/>
          <w:szCs w:val="22"/>
        </w:rPr>
        <w:t xml:space="preserve">with </w:t>
      </w:r>
      <w:r w:rsidR="005A3636">
        <w:rPr>
          <w:color w:val="000000"/>
          <w:sz w:val="22"/>
          <w:szCs w:val="22"/>
        </w:rPr>
        <w:t>11 vendors in China as at 30 September 2015.</w:t>
      </w:r>
      <w:r w:rsidR="00484B43">
        <w:rPr>
          <w:color w:val="000000"/>
          <w:sz w:val="22"/>
          <w:szCs w:val="22"/>
        </w:rPr>
        <w:t xml:space="preserve"> </w:t>
      </w:r>
      <w:r w:rsidR="00BF050F">
        <w:rPr>
          <w:color w:val="000000"/>
          <w:sz w:val="22"/>
          <w:szCs w:val="22"/>
        </w:rPr>
        <w:t>The C</w:t>
      </w:r>
      <w:r w:rsidR="00F067DB">
        <w:rPr>
          <w:color w:val="000000"/>
          <w:sz w:val="22"/>
          <w:szCs w:val="22"/>
        </w:rPr>
        <w:t>ompany shall continue to move</w:t>
      </w:r>
      <w:r w:rsidR="00D9030C">
        <w:rPr>
          <w:color w:val="000000"/>
          <w:sz w:val="22"/>
          <w:szCs w:val="22"/>
        </w:rPr>
        <w:t xml:space="preserve"> forward </w:t>
      </w:r>
      <w:r w:rsidR="00F067DB">
        <w:rPr>
          <w:color w:val="000000"/>
          <w:sz w:val="22"/>
          <w:szCs w:val="22"/>
        </w:rPr>
        <w:t xml:space="preserve">in its ordinary course </w:t>
      </w:r>
      <w:r w:rsidR="00677AF0">
        <w:rPr>
          <w:color w:val="000000"/>
          <w:sz w:val="22"/>
          <w:szCs w:val="22"/>
        </w:rPr>
        <w:t xml:space="preserve">of </w:t>
      </w:r>
      <w:r w:rsidR="00F067DB">
        <w:rPr>
          <w:color w:val="000000"/>
          <w:sz w:val="22"/>
          <w:szCs w:val="22"/>
        </w:rPr>
        <w:t xml:space="preserve">business </w:t>
      </w:r>
      <w:r w:rsidR="00D9030C">
        <w:rPr>
          <w:color w:val="000000"/>
          <w:sz w:val="22"/>
          <w:szCs w:val="22"/>
        </w:rPr>
        <w:t xml:space="preserve">to the </w:t>
      </w:r>
      <w:r w:rsidR="007828F1">
        <w:rPr>
          <w:color w:val="000000"/>
          <w:sz w:val="22"/>
          <w:szCs w:val="22"/>
        </w:rPr>
        <w:t>completion of the definitive</w:t>
      </w:r>
      <w:r>
        <w:rPr>
          <w:color w:val="000000"/>
          <w:sz w:val="22"/>
          <w:szCs w:val="22"/>
        </w:rPr>
        <w:t xml:space="preserve"> agreement </w:t>
      </w:r>
      <w:r w:rsidR="00E00316">
        <w:rPr>
          <w:color w:val="000000"/>
          <w:sz w:val="22"/>
          <w:szCs w:val="22"/>
        </w:rPr>
        <w:t xml:space="preserve">with the remaining vendors </w:t>
      </w:r>
      <w:r>
        <w:rPr>
          <w:color w:val="000000"/>
          <w:sz w:val="22"/>
          <w:szCs w:val="22"/>
        </w:rPr>
        <w:t xml:space="preserve">in the near future. As such, there is no impact to the current financial period ended </w:t>
      </w:r>
      <w:r w:rsidR="00D9030C">
        <w:rPr>
          <w:color w:val="000000"/>
          <w:sz w:val="22"/>
          <w:szCs w:val="22"/>
        </w:rPr>
        <w:t xml:space="preserve">30 September </w:t>
      </w:r>
      <w:r>
        <w:rPr>
          <w:color w:val="000000"/>
          <w:sz w:val="22"/>
          <w:szCs w:val="22"/>
        </w:rPr>
        <w:t xml:space="preserve">2015. </w:t>
      </w:r>
    </w:p>
    <w:p w:rsidR="006A6889" w:rsidRDefault="006A6889" w:rsidP="006A6889">
      <w:pPr>
        <w:spacing w:line="100" w:lineRule="atLeast"/>
        <w:ind w:left="720"/>
        <w:jc w:val="both"/>
      </w:pPr>
    </w:p>
    <w:p w:rsidR="006A6889" w:rsidRDefault="006A6889" w:rsidP="006A6889">
      <w:pPr>
        <w:spacing w:line="100" w:lineRule="atLeast"/>
        <w:ind w:left="720"/>
        <w:jc w:val="both"/>
        <w:rPr>
          <w:b/>
          <w:bCs/>
          <w:color w:val="000000"/>
          <w:sz w:val="22"/>
          <w:szCs w:val="22"/>
        </w:rPr>
      </w:pPr>
      <w:r>
        <w:rPr>
          <w:bCs/>
          <w:color w:val="000000"/>
          <w:sz w:val="22"/>
          <w:szCs w:val="22"/>
        </w:rPr>
        <w:t>There was no other material</w:t>
      </w:r>
      <w:r w:rsidR="00BC3108">
        <w:rPr>
          <w:bCs/>
          <w:color w:val="000000"/>
          <w:sz w:val="22"/>
          <w:szCs w:val="22"/>
        </w:rPr>
        <w:t xml:space="preserve"> events subsequent to</w:t>
      </w:r>
      <w:r>
        <w:rPr>
          <w:bCs/>
          <w:color w:val="000000"/>
          <w:sz w:val="22"/>
          <w:szCs w:val="22"/>
        </w:rPr>
        <w:t xml:space="preserve"> the financial period ended 30</w:t>
      </w:r>
      <w:r w:rsidR="00D9030C">
        <w:rPr>
          <w:bCs/>
          <w:color w:val="000000"/>
          <w:sz w:val="22"/>
          <w:szCs w:val="22"/>
        </w:rPr>
        <w:t xml:space="preserve"> September</w:t>
      </w:r>
      <w:r>
        <w:rPr>
          <w:bCs/>
          <w:color w:val="000000"/>
          <w:sz w:val="22"/>
          <w:szCs w:val="22"/>
        </w:rPr>
        <w:t xml:space="preserve"> 2015 that have not been reflected in the financial statements for the current period.</w:t>
      </w:r>
      <w:r>
        <w:rPr>
          <w:b/>
          <w:bCs/>
          <w:color w:val="000000"/>
          <w:sz w:val="22"/>
          <w:szCs w:val="22"/>
        </w:rPr>
        <w:t xml:space="preserve"> </w:t>
      </w:r>
    </w:p>
    <w:p w:rsidR="006A6889" w:rsidRDefault="006A6889" w:rsidP="006A6889">
      <w:pPr>
        <w:spacing w:line="100" w:lineRule="atLeast"/>
        <w:ind w:left="720"/>
        <w:jc w:val="both"/>
        <w:rPr>
          <w:b/>
          <w:bCs/>
          <w:color w:val="000000"/>
          <w:sz w:val="22"/>
          <w:szCs w:val="22"/>
        </w:rPr>
      </w:pPr>
    </w:p>
    <w:p w:rsidR="006A6889" w:rsidRDefault="006A6889" w:rsidP="006A6889">
      <w:pPr>
        <w:spacing w:line="100" w:lineRule="atLeast"/>
        <w:ind w:left="720" w:hanging="720"/>
        <w:jc w:val="both"/>
        <w:rPr>
          <w:b/>
          <w:color w:val="000000"/>
          <w:sz w:val="22"/>
          <w:szCs w:val="22"/>
        </w:rPr>
      </w:pPr>
    </w:p>
    <w:p w:rsidR="006A6889" w:rsidRDefault="006A6889" w:rsidP="006A6889">
      <w:pPr>
        <w:spacing w:line="100" w:lineRule="atLeast"/>
        <w:ind w:left="720" w:hanging="720"/>
        <w:jc w:val="both"/>
        <w:rPr>
          <w:b/>
          <w:color w:val="000000"/>
          <w:sz w:val="22"/>
          <w:szCs w:val="22"/>
        </w:rPr>
      </w:pPr>
      <w:r>
        <w:rPr>
          <w:b/>
          <w:color w:val="000000"/>
          <w:sz w:val="22"/>
          <w:szCs w:val="22"/>
        </w:rPr>
        <w:t>A11.</w:t>
      </w:r>
      <w:r>
        <w:rPr>
          <w:b/>
          <w:color w:val="000000"/>
          <w:sz w:val="22"/>
          <w:szCs w:val="22"/>
        </w:rPr>
        <w:tab/>
        <w:t>Changes in composition of the Group</w:t>
      </w:r>
    </w:p>
    <w:p w:rsidR="006A6889" w:rsidRDefault="006A6889" w:rsidP="006A6889">
      <w:pPr>
        <w:spacing w:line="100" w:lineRule="atLeast"/>
        <w:ind w:left="720"/>
        <w:jc w:val="both"/>
        <w:rPr>
          <w:b/>
          <w:color w:val="000000"/>
          <w:sz w:val="22"/>
          <w:szCs w:val="22"/>
        </w:rPr>
      </w:pPr>
    </w:p>
    <w:p w:rsidR="006A6889" w:rsidRDefault="006A6889" w:rsidP="006A6889">
      <w:pPr>
        <w:pStyle w:val="BodyTextIndent2"/>
        <w:spacing w:line="100" w:lineRule="atLeast"/>
        <w:rPr>
          <w:szCs w:val="22"/>
        </w:rPr>
      </w:pPr>
      <w:r>
        <w:rPr>
          <w:szCs w:val="22"/>
        </w:rPr>
        <w:t xml:space="preserve">There has been no change in the composition of the Group for the current financial period ended </w:t>
      </w:r>
      <w:r w:rsidR="0020167C">
        <w:rPr>
          <w:szCs w:val="22"/>
        </w:rPr>
        <w:t>30</w:t>
      </w:r>
      <w:r w:rsidR="0044662C">
        <w:rPr>
          <w:szCs w:val="22"/>
          <w:vertAlign w:val="superscript"/>
        </w:rPr>
        <w:t xml:space="preserve">  </w:t>
      </w:r>
      <w:r w:rsidR="0044662C">
        <w:rPr>
          <w:szCs w:val="22"/>
        </w:rPr>
        <w:t>September 2015</w:t>
      </w:r>
      <w:r>
        <w:rPr>
          <w:szCs w:val="22"/>
        </w:rPr>
        <w:t>.</w:t>
      </w:r>
    </w:p>
    <w:p w:rsidR="006A6889" w:rsidRDefault="006A6889" w:rsidP="006A6889">
      <w:pPr>
        <w:pStyle w:val="BodyTextIndent2"/>
        <w:spacing w:line="100" w:lineRule="atLeast"/>
        <w:ind w:left="0"/>
        <w:rPr>
          <w:b/>
          <w:szCs w:val="22"/>
        </w:rPr>
      </w:pPr>
    </w:p>
    <w:p w:rsidR="006A6889" w:rsidRDefault="006A6889" w:rsidP="006A6889">
      <w:pPr>
        <w:spacing w:line="100" w:lineRule="atLeast"/>
        <w:jc w:val="both"/>
        <w:rPr>
          <w:b/>
          <w:sz w:val="22"/>
        </w:rPr>
      </w:pPr>
      <w:r>
        <w:rPr>
          <w:b/>
          <w:sz w:val="22"/>
        </w:rPr>
        <w:t>A12.</w:t>
      </w:r>
      <w:r>
        <w:rPr>
          <w:b/>
          <w:sz w:val="22"/>
        </w:rPr>
        <w:tab/>
        <w:t>Contingent Liabilities/Contingent Assets</w:t>
      </w:r>
    </w:p>
    <w:p w:rsidR="006A6889" w:rsidRDefault="006A6889" w:rsidP="006A6889">
      <w:pPr>
        <w:spacing w:line="100" w:lineRule="atLeast"/>
        <w:ind w:firstLine="720"/>
        <w:jc w:val="both"/>
        <w:rPr>
          <w:b/>
          <w:sz w:val="22"/>
        </w:rPr>
      </w:pPr>
    </w:p>
    <w:p w:rsidR="006A6889" w:rsidRDefault="006A6889" w:rsidP="00D9030C">
      <w:pPr>
        <w:spacing w:line="100" w:lineRule="atLeast"/>
        <w:ind w:left="720"/>
        <w:jc w:val="both"/>
        <w:rPr>
          <w:sz w:val="22"/>
        </w:rPr>
      </w:pPr>
      <w:r>
        <w:rPr>
          <w:sz w:val="22"/>
        </w:rPr>
        <w:t>There have been no changes and no material contingent liabilities/assets incurred by the Group as at th</w:t>
      </w:r>
      <w:r w:rsidR="00D9030C">
        <w:rPr>
          <w:sz w:val="22"/>
        </w:rPr>
        <w:t>e financial period ended 30 September</w:t>
      </w:r>
      <w:r>
        <w:rPr>
          <w:sz w:val="22"/>
        </w:rPr>
        <w:t xml:space="preserve"> 2015.</w:t>
      </w:r>
    </w:p>
    <w:p w:rsidR="00DB6F42" w:rsidRDefault="00DB6F42" w:rsidP="00D9030C">
      <w:pPr>
        <w:spacing w:line="100" w:lineRule="atLeast"/>
        <w:ind w:left="720"/>
        <w:jc w:val="both"/>
        <w:rPr>
          <w:b/>
          <w:sz w:val="22"/>
          <w:szCs w:val="22"/>
        </w:rPr>
      </w:pPr>
    </w:p>
    <w:p w:rsidR="006A6889" w:rsidRDefault="006A6889" w:rsidP="006A6889">
      <w:pPr>
        <w:spacing w:line="100" w:lineRule="atLeast"/>
        <w:rPr>
          <w:b/>
          <w:sz w:val="22"/>
          <w:szCs w:val="22"/>
        </w:rPr>
      </w:pPr>
      <w:r>
        <w:rPr>
          <w:b/>
          <w:sz w:val="22"/>
          <w:szCs w:val="22"/>
        </w:rPr>
        <w:lastRenderedPageBreak/>
        <w:t>ADDITIONAL INFORMATION REQUIRED BY BURSA MALAYSIA SECURITIES BERHAD’S</w:t>
      </w:r>
      <w:r w:rsidR="00D9030C">
        <w:rPr>
          <w:b/>
          <w:sz w:val="22"/>
          <w:szCs w:val="22"/>
        </w:rPr>
        <w:t xml:space="preserve"> </w:t>
      </w:r>
      <w:r>
        <w:rPr>
          <w:b/>
          <w:sz w:val="22"/>
          <w:szCs w:val="22"/>
        </w:rPr>
        <w:t>LISTING REQUIREMENTS</w:t>
      </w:r>
    </w:p>
    <w:p w:rsidR="006A6889" w:rsidRDefault="006A6889" w:rsidP="006A6889">
      <w:pPr>
        <w:spacing w:line="100" w:lineRule="atLeast"/>
        <w:rPr>
          <w:b/>
          <w:sz w:val="22"/>
          <w:szCs w:val="22"/>
        </w:rPr>
      </w:pPr>
    </w:p>
    <w:p w:rsidR="006A6889" w:rsidRDefault="006A6889" w:rsidP="006A6889">
      <w:pPr>
        <w:spacing w:line="100" w:lineRule="atLeast"/>
        <w:rPr>
          <w:b/>
          <w:sz w:val="22"/>
          <w:szCs w:val="22"/>
        </w:rPr>
      </w:pPr>
    </w:p>
    <w:p w:rsidR="006A6889" w:rsidRDefault="006A6889" w:rsidP="006A6889">
      <w:pPr>
        <w:spacing w:line="100" w:lineRule="atLeast"/>
        <w:ind w:left="720" w:hanging="720"/>
        <w:jc w:val="both"/>
        <w:rPr>
          <w:sz w:val="22"/>
          <w:szCs w:val="24"/>
          <w:lang w:val="en-GB"/>
        </w:rPr>
      </w:pPr>
      <w:r>
        <w:rPr>
          <w:b/>
          <w:sz w:val="22"/>
        </w:rPr>
        <w:t>B1.</w:t>
      </w:r>
      <w:r>
        <w:rPr>
          <w:b/>
          <w:sz w:val="22"/>
        </w:rPr>
        <w:tab/>
        <w:t>Review of Performance</w:t>
      </w:r>
    </w:p>
    <w:p w:rsidR="006A6889" w:rsidRDefault="006A6889" w:rsidP="006A6889">
      <w:pPr>
        <w:spacing w:line="100" w:lineRule="atLeast"/>
        <w:ind w:left="720"/>
        <w:jc w:val="both"/>
        <w:rPr>
          <w:sz w:val="22"/>
        </w:rPr>
      </w:pPr>
      <w:r>
        <w:rPr>
          <w:sz w:val="22"/>
          <w:szCs w:val="24"/>
          <w:lang w:val="en-GB"/>
        </w:rPr>
        <w:tab/>
      </w:r>
    </w:p>
    <w:p w:rsidR="006A6889" w:rsidRDefault="006A6889" w:rsidP="006A6889">
      <w:pPr>
        <w:spacing w:line="100" w:lineRule="atLeast"/>
        <w:ind w:left="720" w:hanging="720"/>
        <w:jc w:val="both"/>
        <w:rPr>
          <w:sz w:val="22"/>
        </w:rPr>
      </w:pPr>
      <w:r>
        <w:rPr>
          <w:sz w:val="22"/>
        </w:rPr>
        <w:tab/>
        <w:t>The Group a</w:t>
      </w:r>
      <w:r w:rsidR="00D9030C">
        <w:rPr>
          <w:sz w:val="22"/>
        </w:rPr>
        <w:t>chieved a lower turno</w:t>
      </w:r>
      <w:r w:rsidR="00677AF0">
        <w:rPr>
          <w:sz w:val="22"/>
        </w:rPr>
        <w:t>ver of RM17.4 million and RM76.4</w:t>
      </w:r>
      <w:r>
        <w:rPr>
          <w:sz w:val="22"/>
        </w:rPr>
        <w:t xml:space="preserve"> million respectively for the curren</w:t>
      </w:r>
      <w:r w:rsidR="00D9030C">
        <w:rPr>
          <w:sz w:val="22"/>
        </w:rPr>
        <w:t>t quarter and cumulative of twelve</w:t>
      </w:r>
      <w:r>
        <w:rPr>
          <w:sz w:val="22"/>
        </w:rPr>
        <w:t xml:space="preserve"> (</w:t>
      </w:r>
      <w:r w:rsidR="00D9030C">
        <w:rPr>
          <w:sz w:val="22"/>
        </w:rPr>
        <w:t>12</w:t>
      </w:r>
      <w:r>
        <w:rPr>
          <w:sz w:val="22"/>
        </w:rPr>
        <w:t xml:space="preserve">) months financial period ended 30 </w:t>
      </w:r>
      <w:r w:rsidR="00D9030C">
        <w:rPr>
          <w:sz w:val="22"/>
        </w:rPr>
        <w:t>September</w:t>
      </w:r>
      <w:r>
        <w:rPr>
          <w:sz w:val="22"/>
        </w:rPr>
        <w:t xml:space="preserve"> 2015. This result had reflected a decrease in sales performance by RM</w:t>
      </w:r>
      <w:r w:rsidR="00677AF0">
        <w:rPr>
          <w:sz w:val="22"/>
        </w:rPr>
        <w:t>2.2 million or 11.2</w:t>
      </w:r>
      <w:r w:rsidR="00D9030C">
        <w:rPr>
          <w:sz w:val="22"/>
        </w:rPr>
        <w:t>% and RM</w:t>
      </w:r>
      <w:r>
        <w:rPr>
          <w:sz w:val="22"/>
        </w:rPr>
        <w:t xml:space="preserve"> </w:t>
      </w:r>
      <w:r w:rsidR="00BC3108">
        <w:rPr>
          <w:sz w:val="22"/>
        </w:rPr>
        <w:t>4.5 million or 5.6</w:t>
      </w:r>
      <w:r>
        <w:rPr>
          <w:sz w:val="22"/>
        </w:rPr>
        <w:t>% for the current and cumulat</w:t>
      </w:r>
      <w:r w:rsidR="00D9030C">
        <w:rPr>
          <w:sz w:val="22"/>
        </w:rPr>
        <w:t>ive quarters as com</w:t>
      </w:r>
      <w:r w:rsidR="003D5726">
        <w:rPr>
          <w:sz w:val="22"/>
        </w:rPr>
        <w:t>pared to RM19.6 million</w:t>
      </w:r>
      <w:r w:rsidR="00D9030C">
        <w:rPr>
          <w:sz w:val="22"/>
        </w:rPr>
        <w:t xml:space="preserve"> and RM80.9</w:t>
      </w:r>
      <w:r>
        <w:rPr>
          <w:sz w:val="22"/>
        </w:rPr>
        <w:t xml:space="preserve"> million respectively in same period of the preceding year. </w:t>
      </w:r>
    </w:p>
    <w:p w:rsidR="006A6889" w:rsidRDefault="006A6889" w:rsidP="006A6889">
      <w:pPr>
        <w:spacing w:line="100" w:lineRule="atLeast"/>
        <w:ind w:left="720" w:hanging="720"/>
        <w:jc w:val="both"/>
        <w:rPr>
          <w:sz w:val="22"/>
        </w:rPr>
      </w:pPr>
    </w:p>
    <w:p w:rsidR="006A6889" w:rsidRDefault="006A6889" w:rsidP="007828F1">
      <w:pPr>
        <w:spacing w:line="100" w:lineRule="atLeast"/>
        <w:ind w:left="720" w:hanging="720"/>
        <w:jc w:val="both"/>
        <w:rPr>
          <w:sz w:val="22"/>
        </w:rPr>
      </w:pPr>
      <w:r>
        <w:rPr>
          <w:sz w:val="22"/>
        </w:rPr>
        <w:tab/>
        <w:t>The lower turnover was pr</w:t>
      </w:r>
      <w:r w:rsidR="007828F1">
        <w:rPr>
          <w:sz w:val="22"/>
        </w:rPr>
        <w:t xml:space="preserve">imarily due to </w:t>
      </w:r>
      <w:r>
        <w:rPr>
          <w:sz w:val="22"/>
        </w:rPr>
        <w:t xml:space="preserve">the present sluggish economic activity and </w:t>
      </w:r>
      <w:r w:rsidR="00697399">
        <w:rPr>
          <w:sz w:val="22"/>
        </w:rPr>
        <w:t xml:space="preserve">higher cost of materials resulted by </w:t>
      </w:r>
      <w:r w:rsidR="003D5726">
        <w:rPr>
          <w:sz w:val="22"/>
        </w:rPr>
        <w:t xml:space="preserve">the recent </w:t>
      </w:r>
      <w:r w:rsidR="00697399">
        <w:rPr>
          <w:sz w:val="22"/>
        </w:rPr>
        <w:t xml:space="preserve">depreciated </w:t>
      </w:r>
      <w:r w:rsidR="00BF050F">
        <w:rPr>
          <w:sz w:val="22"/>
        </w:rPr>
        <w:t xml:space="preserve">Malaysia </w:t>
      </w:r>
      <w:r w:rsidR="00677AF0">
        <w:rPr>
          <w:sz w:val="22"/>
        </w:rPr>
        <w:t>Ringgit causing</w:t>
      </w:r>
      <w:r w:rsidR="00697399">
        <w:rPr>
          <w:sz w:val="22"/>
        </w:rPr>
        <w:t xml:space="preserve"> unexpected </w:t>
      </w:r>
      <w:r w:rsidR="003D5726">
        <w:rPr>
          <w:sz w:val="22"/>
        </w:rPr>
        <w:t xml:space="preserve">higher cost </w:t>
      </w:r>
      <w:r w:rsidR="00677AF0">
        <w:rPr>
          <w:sz w:val="22"/>
        </w:rPr>
        <w:t>that affecting our clients to complete</w:t>
      </w:r>
      <w:r w:rsidR="00697399">
        <w:rPr>
          <w:sz w:val="22"/>
        </w:rPr>
        <w:t xml:space="preserve"> </w:t>
      </w:r>
      <w:r w:rsidR="0020167C">
        <w:rPr>
          <w:sz w:val="22"/>
        </w:rPr>
        <w:t xml:space="preserve">their projects </w:t>
      </w:r>
      <w:r w:rsidR="003D5726">
        <w:rPr>
          <w:sz w:val="22"/>
        </w:rPr>
        <w:t>within</w:t>
      </w:r>
      <w:r w:rsidR="00697399">
        <w:rPr>
          <w:sz w:val="22"/>
        </w:rPr>
        <w:t xml:space="preserve"> time</w:t>
      </w:r>
      <w:r w:rsidR="003D5726">
        <w:rPr>
          <w:sz w:val="22"/>
        </w:rPr>
        <w:t xml:space="preserve"> frame.</w:t>
      </w:r>
      <w:r>
        <w:rPr>
          <w:sz w:val="22"/>
        </w:rPr>
        <w:t xml:space="preserve"> The deferment of project</w:t>
      </w:r>
      <w:r>
        <w:rPr>
          <w:sz w:val="22"/>
          <w:lang w:val="en-MY"/>
        </w:rPr>
        <w:t>s</w:t>
      </w:r>
      <w:r>
        <w:rPr>
          <w:sz w:val="22"/>
        </w:rPr>
        <w:t xml:space="preserve"> in Johor Bahru and Klang Valley region </w:t>
      </w:r>
      <w:r>
        <w:rPr>
          <w:sz w:val="22"/>
          <w:lang w:val="en-MY"/>
        </w:rPr>
        <w:t>was</w:t>
      </w:r>
      <w:r>
        <w:rPr>
          <w:sz w:val="22"/>
        </w:rPr>
        <w:t xml:space="preserve"> another reason </w:t>
      </w:r>
      <w:r>
        <w:rPr>
          <w:sz w:val="22"/>
          <w:lang w:val="en-MY"/>
        </w:rPr>
        <w:t xml:space="preserve">which </w:t>
      </w:r>
      <w:r>
        <w:rPr>
          <w:sz w:val="22"/>
        </w:rPr>
        <w:t xml:space="preserve">accounted for the lower sales turnover. </w:t>
      </w:r>
    </w:p>
    <w:p w:rsidR="007828F1" w:rsidRDefault="007828F1" w:rsidP="007828F1">
      <w:pPr>
        <w:spacing w:line="100" w:lineRule="atLeast"/>
        <w:ind w:left="720" w:hanging="720"/>
        <w:jc w:val="both"/>
        <w:rPr>
          <w:b/>
          <w:sz w:val="22"/>
        </w:rPr>
      </w:pPr>
    </w:p>
    <w:p w:rsidR="006A6889" w:rsidRDefault="006A6889" w:rsidP="006A6889">
      <w:pPr>
        <w:pStyle w:val="Heading9"/>
        <w:tabs>
          <w:tab w:val="clear" w:pos="360"/>
          <w:tab w:val="left" w:pos="720"/>
        </w:tabs>
        <w:spacing w:line="100" w:lineRule="atLeast"/>
      </w:pPr>
      <w:r>
        <w:rPr>
          <w:bCs/>
        </w:rPr>
        <w:t>B2.</w:t>
      </w:r>
      <w:r>
        <w:rPr>
          <w:bCs/>
        </w:rPr>
        <w:tab/>
        <w:t>Results Comparison with immediate preceding quarter</w:t>
      </w:r>
    </w:p>
    <w:p w:rsidR="006A6889" w:rsidRDefault="006A6889" w:rsidP="006A6889">
      <w:pPr>
        <w:spacing w:line="100" w:lineRule="atLeast"/>
        <w:ind w:left="720"/>
        <w:jc w:val="both"/>
        <w:rPr>
          <w:b/>
          <w:sz w:val="22"/>
        </w:rPr>
      </w:pPr>
    </w:p>
    <w:p w:rsidR="006A6889" w:rsidRDefault="006A6889" w:rsidP="00665ED5">
      <w:pPr>
        <w:spacing w:line="100" w:lineRule="atLeast"/>
        <w:ind w:left="720"/>
        <w:jc w:val="both"/>
        <w:rPr>
          <w:sz w:val="22"/>
        </w:rPr>
      </w:pPr>
      <w:r>
        <w:rPr>
          <w:sz w:val="22"/>
        </w:rPr>
        <w:t xml:space="preserve">In the current quarter under review, the Group registered a consolidated loss before tax of           </w:t>
      </w:r>
      <w:r w:rsidR="006621A7">
        <w:rPr>
          <w:sz w:val="22"/>
        </w:rPr>
        <w:t>RM2.0</w:t>
      </w:r>
      <w:r>
        <w:rPr>
          <w:sz w:val="22"/>
        </w:rPr>
        <w:t xml:space="preserve"> million as compar</w:t>
      </w:r>
      <w:r w:rsidR="006621A7">
        <w:rPr>
          <w:sz w:val="22"/>
        </w:rPr>
        <w:t>ed to the loss before tax of RM 1.8</w:t>
      </w:r>
      <w:r w:rsidR="00697399">
        <w:rPr>
          <w:sz w:val="22"/>
        </w:rPr>
        <w:t xml:space="preserve"> million</w:t>
      </w:r>
      <w:r>
        <w:rPr>
          <w:sz w:val="22"/>
        </w:rPr>
        <w:t xml:space="preserve"> in the same quarter of the preceding yea</w:t>
      </w:r>
      <w:r w:rsidR="00697399">
        <w:rPr>
          <w:sz w:val="22"/>
        </w:rPr>
        <w:t xml:space="preserve">r. The cumulative losses of twelve </w:t>
      </w:r>
      <w:r>
        <w:rPr>
          <w:sz w:val="22"/>
        </w:rPr>
        <w:t>(</w:t>
      </w:r>
      <w:r w:rsidR="00697399">
        <w:rPr>
          <w:sz w:val="22"/>
        </w:rPr>
        <w:t>12</w:t>
      </w:r>
      <w:r>
        <w:rPr>
          <w:sz w:val="22"/>
        </w:rPr>
        <w:t>) months amo</w:t>
      </w:r>
      <w:r w:rsidR="006621A7">
        <w:rPr>
          <w:sz w:val="22"/>
        </w:rPr>
        <w:t xml:space="preserve">unt of RM 7.7 </w:t>
      </w:r>
      <w:r>
        <w:rPr>
          <w:sz w:val="22"/>
        </w:rPr>
        <w:t>million as compared to the losses of RM</w:t>
      </w:r>
      <w:r w:rsidR="006621A7">
        <w:rPr>
          <w:sz w:val="22"/>
        </w:rPr>
        <w:t>2.5</w:t>
      </w:r>
      <w:r w:rsidR="00697399">
        <w:rPr>
          <w:sz w:val="22"/>
        </w:rPr>
        <w:t xml:space="preserve"> million</w:t>
      </w:r>
      <w:r>
        <w:rPr>
          <w:sz w:val="22"/>
        </w:rPr>
        <w:t xml:space="preserve"> of the same period of last year. The losses were primarily due to decrease in </w:t>
      </w:r>
      <w:r w:rsidR="00697399">
        <w:rPr>
          <w:sz w:val="22"/>
        </w:rPr>
        <w:t>cu</w:t>
      </w:r>
      <w:r w:rsidR="002516E0">
        <w:rPr>
          <w:sz w:val="22"/>
        </w:rPr>
        <w:t>mulative sales turnover by RM4.6</w:t>
      </w:r>
      <w:r w:rsidR="00832F29">
        <w:rPr>
          <w:sz w:val="22"/>
        </w:rPr>
        <w:t xml:space="preserve"> million</w:t>
      </w:r>
      <w:r w:rsidR="00064AD5">
        <w:rPr>
          <w:sz w:val="22"/>
        </w:rPr>
        <w:t xml:space="preserve"> for the whole year ended 30 September 2015</w:t>
      </w:r>
      <w:r w:rsidR="00832F29">
        <w:rPr>
          <w:sz w:val="22"/>
        </w:rPr>
        <w:t xml:space="preserve">, </w:t>
      </w:r>
      <w:r w:rsidR="003D5726">
        <w:rPr>
          <w:sz w:val="22"/>
        </w:rPr>
        <w:t>lower profit margin</w:t>
      </w:r>
      <w:r w:rsidR="00F46FDA">
        <w:rPr>
          <w:sz w:val="22"/>
        </w:rPr>
        <w:t xml:space="preserve"> due to higher prices of raw materials resulted by weaken Malaysia Ringgit </w:t>
      </w:r>
      <w:r w:rsidR="003D5726">
        <w:rPr>
          <w:sz w:val="22"/>
        </w:rPr>
        <w:t xml:space="preserve">, </w:t>
      </w:r>
      <w:r w:rsidR="0020167C">
        <w:rPr>
          <w:sz w:val="22"/>
        </w:rPr>
        <w:t>and an</w:t>
      </w:r>
      <w:r w:rsidR="003D5726">
        <w:rPr>
          <w:sz w:val="22"/>
        </w:rPr>
        <w:t xml:space="preserve"> </w:t>
      </w:r>
      <w:r w:rsidR="00832F29">
        <w:rPr>
          <w:sz w:val="22"/>
        </w:rPr>
        <w:t xml:space="preserve">additional specific </w:t>
      </w:r>
      <w:r>
        <w:rPr>
          <w:sz w:val="22"/>
        </w:rPr>
        <w:t>provision of doubtful debt of RM</w:t>
      </w:r>
      <w:r w:rsidR="00064AD5">
        <w:rPr>
          <w:sz w:val="22"/>
        </w:rPr>
        <w:t xml:space="preserve"> </w:t>
      </w:r>
      <w:r w:rsidR="00665ED5">
        <w:rPr>
          <w:sz w:val="22"/>
        </w:rPr>
        <w:t>0.1</w:t>
      </w:r>
      <w:r>
        <w:rPr>
          <w:sz w:val="22"/>
        </w:rPr>
        <w:t>million</w:t>
      </w:r>
      <w:r w:rsidR="00832F29">
        <w:rPr>
          <w:sz w:val="22"/>
        </w:rPr>
        <w:t xml:space="preserve"> for those trade receivables due more than 12 months period. The total cumulative specific provision for doubtful debts including the general provision of RM0.5 million </w:t>
      </w:r>
      <w:r w:rsidR="0020167C">
        <w:rPr>
          <w:sz w:val="22"/>
        </w:rPr>
        <w:t>(</w:t>
      </w:r>
      <w:r w:rsidR="00832F29">
        <w:rPr>
          <w:sz w:val="22"/>
        </w:rPr>
        <w:t>pr</w:t>
      </w:r>
      <w:r w:rsidR="0020167C">
        <w:rPr>
          <w:sz w:val="22"/>
        </w:rPr>
        <w:t xml:space="preserve">ovided in last financial period) </w:t>
      </w:r>
      <w:r w:rsidR="00832F29">
        <w:rPr>
          <w:sz w:val="22"/>
        </w:rPr>
        <w:t xml:space="preserve">are now </w:t>
      </w:r>
      <w:r w:rsidR="00665ED5">
        <w:rPr>
          <w:sz w:val="22"/>
        </w:rPr>
        <w:t>amounting to RM3.0</w:t>
      </w:r>
      <w:r w:rsidR="0020167C">
        <w:rPr>
          <w:sz w:val="22"/>
        </w:rPr>
        <w:t xml:space="preserve"> million which</w:t>
      </w:r>
      <w:r w:rsidR="00832F29">
        <w:rPr>
          <w:sz w:val="22"/>
        </w:rPr>
        <w:t xml:space="preserve"> </w:t>
      </w:r>
      <w:r w:rsidR="00E00316">
        <w:rPr>
          <w:sz w:val="22"/>
        </w:rPr>
        <w:t xml:space="preserve">was </w:t>
      </w:r>
      <w:r w:rsidR="00832F29">
        <w:rPr>
          <w:sz w:val="22"/>
        </w:rPr>
        <w:t>included</w:t>
      </w:r>
      <w:r>
        <w:rPr>
          <w:sz w:val="22"/>
        </w:rPr>
        <w:t xml:space="preserve"> for the long outstanding trade receivable </w:t>
      </w:r>
      <w:r w:rsidR="00832F29">
        <w:rPr>
          <w:sz w:val="22"/>
        </w:rPr>
        <w:t xml:space="preserve">of RM2.9 million </w:t>
      </w:r>
      <w:r>
        <w:rPr>
          <w:sz w:val="22"/>
        </w:rPr>
        <w:t xml:space="preserve">of a </w:t>
      </w:r>
      <w:r w:rsidR="00201986">
        <w:rPr>
          <w:sz w:val="22"/>
        </w:rPr>
        <w:t>fully owned subsidiary company.</w:t>
      </w:r>
      <w:r w:rsidR="00DD0D90">
        <w:rPr>
          <w:sz w:val="22"/>
        </w:rPr>
        <w:t xml:space="preserve"> </w:t>
      </w:r>
      <w:r w:rsidR="00201986">
        <w:rPr>
          <w:sz w:val="22"/>
        </w:rPr>
        <w:t xml:space="preserve">The increase </w:t>
      </w:r>
      <w:r w:rsidR="00F46FDA">
        <w:rPr>
          <w:sz w:val="22"/>
        </w:rPr>
        <w:t xml:space="preserve">in </w:t>
      </w:r>
      <w:r w:rsidR="00665ED5">
        <w:rPr>
          <w:sz w:val="22"/>
        </w:rPr>
        <w:t>administrative expenses of RM1.7</w:t>
      </w:r>
      <w:r>
        <w:rPr>
          <w:sz w:val="22"/>
        </w:rPr>
        <w:t xml:space="preserve"> million</w:t>
      </w:r>
      <w:r w:rsidR="00201986">
        <w:rPr>
          <w:sz w:val="22"/>
        </w:rPr>
        <w:t xml:space="preserve"> </w:t>
      </w:r>
      <w:r w:rsidR="00064AD5">
        <w:rPr>
          <w:sz w:val="22"/>
        </w:rPr>
        <w:t xml:space="preserve">covering </w:t>
      </w:r>
      <w:r w:rsidR="009F239B">
        <w:rPr>
          <w:sz w:val="22"/>
        </w:rPr>
        <w:t xml:space="preserve">higher operating cost </w:t>
      </w:r>
      <w:r w:rsidR="00F46FDA">
        <w:rPr>
          <w:sz w:val="22"/>
        </w:rPr>
        <w:t>in the daily expenses,</w:t>
      </w:r>
      <w:r w:rsidR="009F239B">
        <w:rPr>
          <w:sz w:val="22"/>
        </w:rPr>
        <w:t xml:space="preserve">  </w:t>
      </w:r>
      <w:r w:rsidR="00064AD5">
        <w:rPr>
          <w:sz w:val="22"/>
        </w:rPr>
        <w:t xml:space="preserve">the increase in </w:t>
      </w:r>
      <w:r w:rsidR="00201986">
        <w:rPr>
          <w:sz w:val="22"/>
        </w:rPr>
        <w:t>travelling and events expenses in relation to the signing of HOA</w:t>
      </w:r>
      <w:r w:rsidR="00E00316">
        <w:rPr>
          <w:sz w:val="22"/>
        </w:rPr>
        <w:t>s</w:t>
      </w:r>
      <w:r w:rsidR="00201986">
        <w:rPr>
          <w:sz w:val="22"/>
        </w:rPr>
        <w:t xml:space="preserve"> in China</w:t>
      </w:r>
      <w:r>
        <w:rPr>
          <w:sz w:val="22"/>
        </w:rPr>
        <w:t xml:space="preserve">, </w:t>
      </w:r>
      <w:r w:rsidR="00201986">
        <w:rPr>
          <w:sz w:val="22"/>
        </w:rPr>
        <w:t>finance</w:t>
      </w:r>
      <w:r>
        <w:rPr>
          <w:sz w:val="22"/>
        </w:rPr>
        <w:t xml:space="preserve"> </w:t>
      </w:r>
      <w:r w:rsidR="00201986">
        <w:rPr>
          <w:sz w:val="22"/>
        </w:rPr>
        <w:t>cost</w:t>
      </w:r>
      <w:r>
        <w:rPr>
          <w:sz w:val="22"/>
        </w:rPr>
        <w:t xml:space="preserve"> for the entire </w:t>
      </w:r>
      <w:r w:rsidR="00201986">
        <w:rPr>
          <w:sz w:val="22"/>
        </w:rPr>
        <w:t>12 months amounting</w:t>
      </w:r>
      <w:r w:rsidR="003D5726">
        <w:rPr>
          <w:sz w:val="22"/>
        </w:rPr>
        <w:t xml:space="preserve"> </w:t>
      </w:r>
      <w:r>
        <w:rPr>
          <w:sz w:val="22"/>
          <w:lang w:val="en-MY"/>
        </w:rPr>
        <w:t>to</w:t>
      </w:r>
      <w:r w:rsidR="00201986">
        <w:rPr>
          <w:sz w:val="22"/>
        </w:rPr>
        <w:t xml:space="preserve"> RM2.1</w:t>
      </w:r>
      <w:r>
        <w:rPr>
          <w:sz w:val="22"/>
        </w:rPr>
        <w:t xml:space="preserve"> million for the increase</w:t>
      </w:r>
      <w:r>
        <w:rPr>
          <w:sz w:val="22"/>
          <w:lang w:val="en-MY"/>
        </w:rPr>
        <w:t>d</w:t>
      </w:r>
      <w:r>
        <w:rPr>
          <w:sz w:val="22"/>
        </w:rPr>
        <w:t xml:space="preserve"> utilization of trade facility </w:t>
      </w:r>
      <w:r w:rsidR="003D5726">
        <w:rPr>
          <w:sz w:val="22"/>
        </w:rPr>
        <w:t xml:space="preserve">(which was maintained by another fully owned subsidiary company) </w:t>
      </w:r>
      <w:r>
        <w:rPr>
          <w:sz w:val="22"/>
        </w:rPr>
        <w:t>and interest charged on long outstanding Isl</w:t>
      </w:r>
      <w:r w:rsidR="00697399">
        <w:rPr>
          <w:sz w:val="22"/>
        </w:rPr>
        <w:t xml:space="preserve">amic Term Loan </w:t>
      </w:r>
      <w:r w:rsidR="00201986">
        <w:rPr>
          <w:sz w:val="22"/>
        </w:rPr>
        <w:t xml:space="preserve">and </w:t>
      </w:r>
      <w:r w:rsidR="00064AD5">
        <w:rPr>
          <w:sz w:val="22"/>
        </w:rPr>
        <w:t xml:space="preserve">Conventional </w:t>
      </w:r>
      <w:r w:rsidR="00201986">
        <w:rPr>
          <w:sz w:val="22"/>
        </w:rPr>
        <w:t xml:space="preserve">Term Loan </w:t>
      </w:r>
      <w:r w:rsidR="00697399">
        <w:rPr>
          <w:sz w:val="22"/>
        </w:rPr>
        <w:t>with Maybank Is</w:t>
      </w:r>
      <w:r w:rsidR="00201986">
        <w:rPr>
          <w:sz w:val="22"/>
        </w:rPr>
        <w:t>la</w:t>
      </w:r>
      <w:r>
        <w:rPr>
          <w:sz w:val="22"/>
        </w:rPr>
        <w:t xml:space="preserve">mic Berhad </w:t>
      </w:r>
      <w:r w:rsidR="00064AD5">
        <w:rPr>
          <w:sz w:val="22"/>
        </w:rPr>
        <w:t xml:space="preserve">and Malayan Banking </w:t>
      </w:r>
      <w:r w:rsidR="003D5726">
        <w:rPr>
          <w:sz w:val="22"/>
        </w:rPr>
        <w:t>Berhad</w:t>
      </w:r>
      <w:r>
        <w:rPr>
          <w:sz w:val="22"/>
        </w:rPr>
        <w:t>.</w:t>
      </w:r>
      <w:r w:rsidR="003E30EB">
        <w:rPr>
          <w:sz w:val="22"/>
        </w:rPr>
        <w:t xml:space="preserve"> The C</w:t>
      </w:r>
      <w:r w:rsidR="00201986">
        <w:rPr>
          <w:sz w:val="22"/>
        </w:rPr>
        <w:t xml:space="preserve">ompany has successfully settled the long outstanding Islamic Term Loan of RM8.2 million with Maybank Islamic Berhad in July 2015. </w:t>
      </w:r>
      <w:r>
        <w:rPr>
          <w:sz w:val="22"/>
        </w:rPr>
        <w:t xml:space="preserve"> </w:t>
      </w:r>
    </w:p>
    <w:p w:rsidR="006A6889" w:rsidRDefault="006A6889" w:rsidP="006A6889">
      <w:pPr>
        <w:spacing w:line="100" w:lineRule="atLeast"/>
        <w:ind w:left="720"/>
        <w:jc w:val="both"/>
        <w:rPr>
          <w:sz w:val="22"/>
        </w:rPr>
      </w:pPr>
    </w:p>
    <w:p w:rsidR="006A6889" w:rsidRDefault="006A6889" w:rsidP="006A6889">
      <w:pPr>
        <w:spacing w:line="100" w:lineRule="atLeast"/>
        <w:ind w:left="720"/>
        <w:jc w:val="both"/>
        <w:rPr>
          <w:sz w:val="22"/>
        </w:rPr>
      </w:pPr>
      <w:r>
        <w:rPr>
          <w:sz w:val="22"/>
          <w:lang w:val="en-MY"/>
        </w:rPr>
        <w:t>In response thereto, t</w:t>
      </w:r>
      <w:r>
        <w:rPr>
          <w:sz w:val="22"/>
        </w:rPr>
        <w:t xml:space="preserve">he Company </w:t>
      </w:r>
      <w:r>
        <w:rPr>
          <w:sz w:val="22"/>
          <w:lang w:val="en-MY"/>
        </w:rPr>
        <w:t>had</w:t>
      </w:r>
      <w:r>
        <w:rPr>
          <w:sz w:val="22"/>
        </w:rPr>
        <w:t xml:space="preserve"> taken measures to mitigate the losses by reviewing the operation efficiency at the subsidiaries level</w:t>
      </w:r>
      <w:r w:rsidR="003D5726">
        <w:rPr>
          <w:sz w:val="22"/>
        </w:rPr>
        <w:t xml:space="preserve"> and</w:t>
      </w:r>
      <w:r w:rsidR="00201986">
        <w:rPr>
          <w:sz w:val="22"/>
        </w:rPr>
        <w:t xml:space="preserve"> by effecting </w:t>
      </w:r>
      <w:r>
        <w:rPr>
          <w:sz w:val="22"/>
        </w:rPr>
        <w:t xml:space="preserve">full settlement of the long outstanding </w:t>
      </w:r>
      <w:r>
        <w:rPr>
          <w:sz w:val="22"/>
          <w:lang w:val="en-MY"/>
        </w:rPr>
        <w:t>Maybank</w:t>
      </w:r>
      <w:r>
        <w:rPr>
          <w:sz w:val="22"/>
        </w:rPr>
        <w:t xml:space="preserve"> Islamic Bank</w:t>
      </w:r>
      <w:r w:rsidR="00201986">
        <w:rPr>
          <w:sz w:val="22"/>
        </w:rPr>
        <w:t xml:space="preserve"> and regularize the instalmen</w:t>
      </w:r>
      <w:r w:rsidR="00420002">
        <w:rPr>
          <w:sz w:val="22"/>
        </w:rPr>
        <w:t xml:space="preserve">t of </w:t>
      </w:r>
      <w:r w:rsidR="00064AD5">
        <w:rPr>
          <w:sz w:val="22"/>
        </w:rPr>
        <w:t xml:space="preserve">Conventional </w:t>
      </w:r>
      <w:r w:rsidR="00420002">
        <w:rPr>
          <w:sz w:val="22"/>
        </w:rPr>
        <w:t>Term Loan with Malayan Bank</w:t>
      </w:r>
      <w:r w:rsidR="00201986">
        <w:rPr>
          <w:sz w:val="22"/>
        </w:rPr>
        <w:t xml:space="preserve">ing Berhad </w:t>
      </w:r>
      <w:r w:rsidR="00420002">
        <w:rPr>
          <w:sz w:val="22"/>
        </w:rPr>
        <w:t>with the objective to lower</w:t>
      </w:r>
      <w:r w:rsidR="00201986">
        <w:rPr>
          <w:sz w:val="22"/>
        </w:rPr>
        <w:t xml:space="preserve"> finance cost</w:t>
      </w:r>
      <w:r>
        <w:rPr>
          <w:sz w:val="22"/>
        </w:rPr>
        <w:t>.</w:t>
      </w:r>
      <w:r>
        <w:rPr>
          <w:sz w:val="22"/>
          <w:lang w:val="en-MY"/>
        </w:rPr>
        <w:t xml:space="preserve"> The Company </w:t>
      </w:r>
      <w:r w:rsidR="00201986">
        <w:rPr>
          <w:sz w:val="22"/>
          <w:lang w:val="en-MY"/>
        </w:rPr>
        <w:t xml:space="preserve">has </w:t>
      </w:r>
      <w:r w:rsidR="003E6948">
        <w:rPr>
          <w:sz w:val="22"/>
          <w:lang w:val="en-MY"/>
        </w:rPr>
        <w:t xml:space="preserve">set down new business direction toward to </w:t>
      </w:r>
      <w:r w:rsidR="002B212D">
        <w:rPr>
          <w:sz w:val="22"/>
          <w:lang w:val="en-MY"/>
        </w:rPr>
        <w:t>the Head</w:t>
      </w:r>
      <w:r w:rsidR="00064AD5">
        <w:rPr>
          <w:sz w:val="22"/>
          <w:lang w:val="en-MY"/>
        </w:rPr>
        <w:t>s</w:t>
      </w:r>
      <w:r w:rsidR="002B212D">
        <w:rPr>
          <w:sz w:val="22"/>
          <w:lang w:val="en-MY"/>
        </w:rPr>
        <w:t xml:space="preserve"> of Agreement </w:t>
      </w:r>
      <w:r w:rsidR="00420002">
        <w:rPr>
          <w:sz w:val="22"/>
          <w:lang w:val="en-MY"/>
        </w:rPr>
        <w:t>of E</w:t>
      </w:r>
      <w:r w:rsidR="00E00316">
        <w:rPr>
          <w:sz w:val="22"/>
          <w:lang w:val="en-MY"/>
        </w:rPr>
        <w:t>xclusive Agencies with 11</w:t>
      </w:r>
      <w:r w:rsidR="002B212D">
        <w:rPr>
          <w:sz w:val="22"/>
          <w:lang w:val="en-MY"/>
        </w:rPr>
        <w:t xml:space="preserve"> vendors </w:t>
      </w:r>
      <w:r w:rsidR="00E00316">
        <w:rPr>
          <w:sz w:val="22"/>
          <w:lang w:val="en-MY"/>
        </w:rPr>
        <w:t xml:space="preserve">that supplying </w:t>
      </w:r>
      <w:r w:rsidR="00E00316">
        <w:rPr>
          <w:sz w:val="22"/>
        </w:rPr>
        <w:t>building materials from</w:t>
      </w:r>
      <w:r>
        <w:rPr>
          <w:sz w:val="22"/>
        </w:rPr>
        <w:t xml:space="preserve"> China</w:t>
      </w:r>
      <w:r w:rsidR="00064AD5">
        <w:rPr>
          <w:sz w:val="22"/>
        </w:rPr>
        <w:t>.</w:t>
      </w:r>
      <w:r w:rsidR="002B212D">
        <w:rPr>
          <w:sz w:val="22"/>
        </w:rPr>
        <w:t xml:space="preserve"> This is to </w:t>
      </w:r>
      <w:r>
        <w:rPr>
          <w:sz w:val="22"/>
        </w:rPr>
        <w:t xml:space="preserve">ensure </w:t>
      </w:r>
      <w:r>
        <w:rPr>
          <w:sz w:val="22"/>
          <w:lang w:val="en-MY"/>
        </w:rPr>
        <w:t>that</w:t>
      </w:r>
      <w:r>
        <w:rPr>
          <w:sz w:val="22"/>
        </w:rPr>
        <w:t xml:space="preserve"> purchases shall </w:t>
      </w:r>
      <w:r>
        <w:rPr>
          <w:sz w:val="22"/>
          <w:lang w:val="en-MY"/>
        </w:rPr>
        <w:t xml:space="preserve">be </w:t>
      </w:r>
      <w:r w:rsidR="002B212D">
        <w:rPr>
          <w:sz w:val="22"/>
        </w:rPr>
        <w:t xml:space="preserve">transacted </w:t>
      </w:r>
      <w:r>
        <w:rPr>
          <w:sz w:val="22"/>
        </w:rPr>
        <w:t>in RMB i</w:t>
      </w:r>
      <w:r>
        <w:rPr>
          <w:sz w:val="22"/>
          <w:szCs w:val="22"/>
        </w:rPr>
        <w:t>nstead of US dollar</w:t>
      </w:r>
      <w:r>
        <w:rPr>
          <w:sz w:val="22"/>
          <w:szCs w:val="22"/>
          <w:lang w:val="en-MY"/>
        </w:rPr>
        <w:t>s</w:t>
      </w:r>
      <w:r>
        <w:rPr>
          <w:sz w:val="22"/>
          <w:szCs w:val="22"/>
        </w:rPr>
        <w:t xml:space="preserve"> in order to reduce cost and </w:t>
      </w:r>
      <w:r>
        <w:rPr>
          <w:sz w:val="22"/>
          <w:szCs w:val="22"/>
          <w:lang w:val="en-MY"/>
        </w:rPr>
        <w:t xml:space="preserve">to </w:t>
      </w:r>
      <w:r w:rsidR="002B212D">
        <w:rPr>
          <w:sz w:val="22"/>
          <w:szCs w:val="22"/>
        </w:rPr>
        <w:t>secure consistent supply</w:t>
      </w:r>
      <w:r>
        <w:rPr>
          <w:sz w:val="22"/>
          <w:szCs w:val="22"/>
        </w:rPr>
        <w:t xml:space="preserve"> </w:t>
      </w:r>
      <w:r>
        <w:rPr>
          <w:sz w:val="22"/>
          <w:szCs w:val="22"/>
          <w:lang w:val="en-MY"/>
        </w:rPr>
        <w:t>of</w:t>
      </w:r>
      <w:r>
        <w:rPr>
          <w:sz w:val="22"/>
          <w:szCs w:val="22"/>
        </w:rPr>
        <w:t xml:space="preserve"> goods </w:t>
      </w:r>
      <w:r>
        <w:rPr>
          <w:sz w:val="22"/>
          <w:szCs w:val="22"/>
          <w:lang w:val="en-MY"/>
        </w:rPr>
        <w:t>with</w:t>
      </w:r>
      <w:r>
        <w:rPr>
          <w:sz w:val="22"/>
          <w:szCs w:val="22"/>
        </w:rPr>
        <w:t xml:space="preserve"> </w:t>
      </w:r>
      <w:r>
        <w:rPr>
          <w:sz w:val="22"/>
          <w:szCs w:val="22"/>
          <w:lang w:val="en-MY"/>
        </w:rPr>
        <w:t>assured</w:t>
      </w:r>
      <w:r>
        <w:rPr>
          <w:sz w:val="22"/>
          <w:szCs w:val="22"/>
        </w:rPr>
        <w:t xml:space="preserve"> quality </w:t>
      </w:r>
      <w:r>
        <w:rPr>
          <w:sz w:val="22"/>
          <w:szCs w:val="22"/>
          <w:lang w:val="en-MY"/>
        </w:rPr>
        <w:t>and to gain speedy and more extensive access to Malaysian as well as Singaporean markets</w:t>
      </w:r>
      <w:r>
        <w:rPr>
          <w:sz w:val="22"/>
          <w:szCs w:val="22"/>
        </w:rPr>
        <w:t xml:space="preserve">. </w:t>
      </w:r>
      <w:r>
        <w:rPr>
          <w:color w:val="000000"/>
          <w:sz w:val="22"/>
          <w:szCs w:val="22"/>
          <w:lang w:val="en-MY"/>
        </w:rPr>
        <w:t>To this end, the</w:t>
      </w:r>
      <w:r>
        <w:rPr>
          <w:color w:val="000000"/>
          <w:sz w:val="22"/>
          <w:szCs w:val="22"/>
        </w:rPr>
        <w:t xml:space="preserve"> </w:t>
      </w:r>
      <w:r w:rsidR="0044662C">
        <w:rPr>
          <w:color w:val="000000"/>
          <w:sz w:val="22"/>
          <w:szCs w:val="22"/>
          <w:lang w:val="en-MY"/>
        </w:rPr>
        <w:t xml:space="preserve">Company </w:t>
      </w:r>
      <w:r w:rsidR="003D5726">
        <w:rPr>
          <w:color w:val="000000"/>
          <w:sz w:val="22"/>
          <w:szCs w:val="22"/>
        </w:rPr>
        <w:t>had</w:t>
      </w:r>
      <w:r>
        <w:rPr>
          <w:color w:val="000000"/>
          <w:sz w:val="22"/>
          <w:szCs w:val="22"/>
        </w:rPr>
        <w:t xml:space="preserve"> </w:t>
      </w:r>
      <w:r>
        <w:rPr>
          <w:color w:val="000000"/>
          <w:sz w:val="22"/>
          <w:szCs w:val="22"/>
          <w:lang w:val="en-MY"/>
        </w:rPr>
        <w:t xml:space="preserve">subsequent to the financial period under review and </w:t>
      </w:r>
      <w:r>
        <w:rPr>
          <w:color w:val="000000"/>
          <w:sz w:val="22"/>
          <w:szCs w:val="22"/>
        </w:rPr>
        <w:t xml:space="preserve">in its ordinary course of business, entered into </w:t>
      </w:r>
      <w:r w:rsidR="00E00316">
        <w:rPr>
          <w:color w:val="000000"/>
          <w:sz w:val="22"/>
          <w:szCs w:val="22"/>
        </w:rPr>
        <w:t>11</w:t>
      </w:r>
      <w:r>
        <w:rPr>
          <w:color w:val="000000"/>
          <w:sz w:val="22"/>
          <w:szCs w:val="22"/>
        </w:rPr>
        <w:t xml:space="preserve"> Heads of Agreement (HOA) </w:t>
      </w:r>
      <w:r w:rsidR="002B212D">
        <w:rPr>
          <w:color w:val="000000"/>
          <w:sz w:val="22"/>
          <w:szCs w:val="22"/>
          <w:lang w:val="en-MY"/>
        </w:rPr>
        <w:t xml:space="preserve">as per </w:t>
      </w:r>
      <w:r w:rsidR="003D5726">
        <w:rPr>
          <w:color w:val="000000"/>
          <w:sz w:val="22"/>
          <w:szCs w:val="22"/>
          <w:lang w:val="en-MY"/>
        </w:rPr>
        <w:t xml:space="preserve">recent </w:t>
      </w:r>
      <w:r w:rsidR="002B212D">
        <w:rPr>
          <w:color w:val="000000"/>
          <w:sz w:val="22"/>
          <w:szCs w:val="22"/>
          <w:lang w:val="en-MY"/>
        </w:rPr>
        <w:t>Bursa’s announcements.</w:t>
      </w:r>
      <w:r w:rsidR="002B212D">
        <w:rPr>
          <w:sz w:val="22"/>
        </w:rPr>
        <w:t xml:space="preserve"> </w:t>
      </w:r>
    </w:p>
    <w:p w:rsidR="006A6889" w:rsidRDefault="006A6889" w:rsidP="006A6889">
      <w:pPr>
        <w:spacing w:line="100" w:lineRule="atLeast"/>
        <w:ind w:left="720"/>
        <w:jc w:val="both"/>
        <w:rPr>
          <w:sz w:val="22"/>
        </w:rPr>
      </w:pPr>
    </w:p>
    <w:p w:rsidR="006A6889" w:rsidRDefault="006A6889" w:rsidP="006A6889">
      <w:pPr>
        <w:spacing w:line="100" w:lineRule="atLeast"/>
        <w:ind w:left="720"/>
        <w:jc w:val="both"/>
        <w:rPr>
          <w:sz w:val="22"/>
        </w:rPr>
      </w:pPr>
    </w:p>
    <w:p w:rsidR="006A6889" w:rsidRDefault="006A6889" w:rsidP="00952655">
      <w:pPr>
        <w:spacing w:line="100" w:lineRule="atLeast"/>
        <w:jc w:val="both"/>
        <w:rPr>
          <w:b/>
        </w:rPr>
      </w:pPr>
    </w:p>
    <w:p w:rsidR="006A6889" w:rsidRDefault="006A6889" w:rsidP="006A6889">
      <w:pPr>
        <w:pStyle w:val="Heading9"/>
        <w:tabs>
          <w:tab w:val="clear" w:pos="360"/>
          <w:tab w:val="left" w:pos="720"/>
        </w:tabs>
        <w:spacing w:line="100" w:lineRule="atLeast"/>
        <w:ind w:left="720" w:hanging="720"/>
        <w:rPr>
          <w:bCs/>
        </w:rPr>
      </w:pPr>
    </w:p>
    <w:p w:rsidR="006A6889" w:rsidRDefault="006A6889" w:rsidP="006A6889">
      <w:pPr>
        <w:pStyle w:val="Heading9"/>
        <w:tabs>
          <w:tab w:val="clear" w:pos="360"/>
          <w:tab w:val="left" w:pos="720"/>
        </w:tabs>
        <w:spacing w:line="100" w:lineRule="atLeast"/>
        <w:rPr>
          <w:bCs/>
        </w:rPr>
      </w:pPr>
      <w:r>
        <w:rPr>
          <w:bCs/>
        </w:rPr>
        <w:t>B3.</w:t>
      </w:r>
      <w:r>
        <w:rPr>
          <w:bCs/>
        </w:rPr>
        <w:tab/>
        <w:t>Current Year Prospects</w:t>
      </w:r>
    </w:p>
    <w:p w:rsidR="006A6889" w:rsidRDefault="006A6889" w:rsidP="006A6889">
      <w:pPr>
        <w:spacing w:line="100" w:lineRule="atLeast"/>
        <w:ind w:left="720" w:hanging="720"/>
        <w:jc w:val="both"/>
        <w:rPr>
          <w:b/>
          <w:bCs/>
          <w:sz w:val="22"/>
        </w:rPr>
      </w:pPr>
    </w:p>
    <w:p w:rsidR="006A6889" w:rsidRDefault="006A6889" w:rsidP="006A6889">
      <w:pPr>
        <w:spacing w:line="100" w:lineRule="atLeast"/>
        <w:ind w:left="720" w:hanging="720"/>
        <w:jc w:val="both"/>
        <w:rPr>
          <w:b/>
          <w:bCs/>
          <w:sz w:val="22"/>
        </w:rPr>
      </w:pPr>
      <w:r>
        <w:rPr>
          <w:b/>
          <w:bCs/>
          <w:sz w:val="22"/>
        </w:rPr>
        <w:tab/>
      </w:r>
      <w:r>
        <w:rPr>
          <w:sz w:val="22"/>
        </w:rPr>
        <w:t xml:space="preserve">The overall outlook for </w:t>
      </w:r>
      <w:r w:rsidR="00843E12">
        <w:rPr>
          <w:sz w:val="22"/>
        </w:rPr>
        <w:t>the Group’s performance for this</w:t>
      </w:r>
      <w:r w:rsidR="00391CDE">
        <w:rPr>
          <w:sz w:val="22"/>
        </w:rPr>
        <w:t xml:space="preserve"> quarter of this</w:t>
      </w:r>
      <w:r w:rsidR="00843E12">
        <w:rPr>
          <w:sz w:val="22"/>
        </w:rPr>
        <w:t xml:space="preserve"> financial year </w:t>
      </w:r>
      <w:r>
        <w:rPr>
          <w:sz w:val="22"/>
        </w:rPr>
        <w:t>remains slow but will be very challenging due to the continuing lackluster and uncertainties in the current economic climate</w:t>
      </w:r>
      <w:r w:rsidR="00391CDE">
        <w:rPr>
          <w:sz w:val="22"/>
        </w:rPr>
        <w:t xml:space="preserve"> with weaken </w:t>
      </w:r>
      <w:r w:rsidR="00952655">
        <w:rPr>
          <w:sz w:val="22"/>
        </w:rPr>
        <w:t xml:space="preserve">Malaysia </w:t>
      </w:r>
      <w:r w:rsidR="00391CDE">
        <w:rPr>
          <w:sz w:val="22"/>
        </w:rPr>
        <w:t>Ringgit and lower commodities prices</w:t>
      </w:r>
      <w:r>
        <w:rPr>
          <w:sz w:val="22"/>
        </w:rPr>
        <w:t xml:space="preserve">. However, the Management </w:t>
      </w:r>
      <w:r>
        <w:rPr>
          <w:sz w:val="22"/>
          <w:lang w:val="en-MY"/>
        </w:rPr>
        <w:t>is braced to</w:t>
      </w:r>
      <w:r>
        <w:rPr>
          <w:sz w:val="22"/>
        </w:rPr>
        <w:t xml:space="preserve"> face the challenging market conditions </w:t>
      </w:r>
      <w:r>
        <w:rPr>
          <w:sz w:val="22"/>
          <w:lang w:val="en-MY"/>
        </w:rPr>
        <w:t>with</w:t>
      </w:r>
      <w:r>
        <w:rPr>
          <w:sz w:val="22"/>
        </w:rPr>
        <w:t xml:space="preserve"> their best effort in the future </w:t>
      </w:r>
      <w:r>
        <w:rPr>
          <w:sz w:val="22"/>
          <w:lang w:val="en-MY"/>
        </w:rPr>
        <w:t>and continues with the turn-around plans</w:t>
      </w:r>
      <w:r>
        <w:rPr>
          <w:sz w:val="22"/>
        </w:rPr>
        <w:t>.</w:t>
      </w:r>
      <w:r w:rsidR="00952655">
        <w:rPr>
          <w:sz w:val="22"/>
        </w:rPr>
        <w:t xml:space="preserve"> The Company sh</w:t>
      </w:r>
      <w:r w:rsidR="00E00316">
        <w:rPr>
          <w:sz w:val="22"/>
        </w:rPr>
        <w:t xml:space="preserve">all excel further upon implementation </w:t>
      </w:r>
      <w:r w:rsidR="00952655">
        <w:rPr>
          <w:sz w:val="22"/>
        </w:rPr>
        <w:t>of the Heads of Agreement</w:t>
      </w:r>
      <w:r w:rsidR="003E6948">
        <w:rPr>
          <w:sz w:val="22"/>
        </w:rPr>
        <w:t>, the corresponding Definitive Agreements</w:t>
      </w:r>
      <w:r w:rsidR="00952655">
        <w:rPr>
          <w:sz w:val="22"/>
        </w:rPr>
        <w:t xml:space="preserve"> and Framework Agreement in the coming quarters.</w:t>
      </w:r>
      <w:r>
        <w:rPr>
          <w:sz w:val="22"/>
        </w:rPr>
        <w:t xml:space="preserve"> </w:t>
      </w:r>
    </w:p>
    <w:p w:rsidR="006A6889" w:rsidRDefault="006A6889" w:rsidP="006A6889">
      <w:pPr>
        <w:spacing w:line="100" w:lineRule="atLeast"/>
        <w:ind w:left="720" w:hanging="720"/>
        <w:jc w:val="both"/>
        <w:rPr>
          <w:b/>
          <w:bCs/>
          <w:sz w:val="22"/>
        </w:rPr>
      </w:pPr>
    </w:p>
    <w:p w:rsidR="006A6889" w:rsidRDefault="006A6889" w:rsidP="006A6889">
      <w:pPr>
        <w:spacing w:line="100" w:lineRule="atLeast"/>
        <w:ind w:left="720" w:hanging="720"/>
        <w:jc w:val="both"/>
        <w:rPr>
          <w:b/>
          <w:sz w:val="22"/>
        </w:rPr>
      </w:pPr>
      <w:r>
        <w:rPr>
          <w:b/>
          <w:bCs/>
          <w:sz w:val="22"/>
        </w:rPr>
        <w:t>B4.</w:t>
      </w:r>
      <w:r>
        <w:rPr>
          <w:b/>
          <w:bCs/>
          <w:sz w:val="22"/>
        </w:rPr>
        <w:tab/>
        <w:t>Variance of actual profit from forecast profit</w:t>
      </w:r>
    </w:p>
    <w:p w:rsidR="006A6889" w:rsidRDefault="006A6889" w:rsidP="006A6889">
      <w:pPr>
        <w:spacing w:line="100" w:lineRule="atLeast"/>
        <w:ind w:left="720"/>
        <w:jc w:val="both"/>
        <w:rPr>
          <w:b/>
          <w:sz w:val="22"/>
        </w:rPr>
      </w:pPr>
    </w:p>
    <w:p w:rsidR="006A6889" w:rsidRDefault="006A6889" w:rsidP="006A6889">
      <w:pPr>
        <w:spacing w:line="100" w:lineRule="atLeast"/>
        <w:jc w:val="both"/>
        <w:rPr>
          <w:b/>
          <w:sz w:val="22"/>
        </w:rPr>
      </w:pPr>
      <w:r>
        <w:rPr>
          <w:b/>
          <w:sz w:val="22"/>
        </w:rPr>
        <w:tab/>
      </w:r>
      <w:r>
        <w:rPr>
          <w:bCs/>
          <w:sz w:val="22"/>
        </w:rPr>
        <w:t>No profit guarantee and profit forecast is required.</w:t>
      </w:r>
    </w:p>
    <w:p w:rsidR="006A6889" w:rsidRDefault="006A6889" w:rsidP="006A6889">
      <w:pPr>
        <w:spacing w:line="100" w:lineRule="atLeast"/>
        <w:ind w:left="720" w:hanging="720"/>
        <w:jc w:val="both"/>
        <w:rPr>
          <w:b/>
          <w:sz w:val="22"/>
        </w:rPr>
      </w:pPr>
    </w:p>
    <w:p w:rsidR="006A6889" w:rsidRDefault="006A6889" w:rsidP="006A6889">
      <w:pPr>
        <w:spacing w:line="100" w:lineRule="atLeast"/>
        <w:ind w:left="720" w:hanging="720"/>
        <w:jc w:val="both"/>
        <w:rPr>
          <w:b/>
          <w:sz w:val="22"/>
        </w:rPr>
      </w:pPr>
    </w:p>
    <w:p w:rsidR="006A6889" w:rsidRDefault="006A6889" w:rsidP="006A6889">
      <w:pPr>
        <w:spacing w:line="100" w:lineRule="atLeast"/>
        <w:ind w:left="720" w:hanging="720"/>
        <w:jc w:val="both"/>
      </w:pPr>
      <w:r>
        <w:rPr>
          <w:b/>
          <w:sz w:val="22"/>
        </w:rPr>
        <w:t>B5.</w:t>
      </w:r>
      <w:r>
        <w:rPr>
          <w:b/>
          <w:sz w:val="22"/>
        </w:rPr>
        <w:tab/>
        <w:t>Taxation</w:t>
      </w:r>
    </w:p>
    <w:tbl>
      <w:tblPr>
        <w:tblW w:w="0" w:type="auto"/>
        <w:tblInd w:w="720" w:type="dxa"/>
        <w:tblLayout w:type="fixed"/>
        <w:tblLook w:val="04A0" w:firstRow="1" w:lastRow="0" w:firstColumn="1" w:lastColumn="0" w:noHBand="0" w:noVBand="1"/>
      </w:tblPr>
      <w:tblGrid>
        <w:gridCol w:w="4787"/>
        <w:gridCol w:w="1799"/>
        <w:gridCol w:w="1622"/>
      </w:tblGrid>
      <w:tr w:rsidR="006A6889" w:rsidTr="006A6889">
        <w:tc>
          <w:tcPr>
            <w:tcW w:w="4787" w:type="dxa"/>
          </w:tcPr>
          <w:p w:rsidR="006A6889" w:rsidRDefault="006A6889">
            <w:pPr>
              <w:snapToGrid w:val="0"/>
              <w:spacing w:line="100" w:lineRule="atLeast"/>
              <w:jc w:val="both"/>
            </w:pPr>
          </w:p>
        </w:tc>
        <w:tc>
          <w:tcPr>
            <w:tcW w:w="1799" w:type="dxa"/>
          </w:tcPr>
          <w:p w:rsidR="006A6889" w:rsidRDefault="006A6889">
            <w:pPr>
              <w:spacing w:line="100" w:lineRule="atLeast"/>
              <w:jc w:val="center"/>
              <w:rPr>
                <w:sz w:val="21"/>
                <w:szCs w:val="21"/>
              </w:rPr>
            </w:pPr>
            <w:r>
              <w:rPr>
                <w:sz w:val="21"/>
                <w:szCs w:val="21"/>
              </w:rPr>
              <w:t>Current Quarter Ended</w:t>
            </w:r>
          </w:p>
          <w:p w:rsidR="006A6889" w:rsidRDefault="00843E12">
            <w:pPr>
              <w:spacing w:line="100" w:lineRule="atLeast"/>
              <w:jc w:val="center"/>
              <w:rPr>
                <w:sz w:val="21"/>
                <w:szCs w:val="21"/>
              </w:rPr>
            </w:pPr>
            <w:r>
              <w:rPr>
                <w:sz w:val="21"/>
                <w:szCs w:val="21"/>
              </w:rPr>
              <w:t>30 September</w:t>
            </w:r>
            <w:r w:rsidR="006A6889">
              <w:rPr>
                <w:sz w:val="21"/>
                <w:szCs w:val="21"/>
              </w:rPr>
              <w:t xml:space="preserve"> 2015</w:t>
            </w:r>
          </w:p>
          <w:p w:rsidR="006A6889" w:rsidRDefault="006A6889">
            <w:pPr>
              <w:spacing w:line="100" w:lineRule="atLeast"/>
              <w:jc w:val="center"/>
              <w:rPr>
                <w:sz w:val="21"/>
                <w:szCs w:val="21"/>
              </w:rPr>
            </w:pPr>
          </w:p>
          <w:p w:rsidR="00665ED5" w:rsidRDefault="00665ED5">
            <w:pPr>
              <w:spacing w:line="100" w:lineRule="atLeast"/>
              <w:jc w:val="center"/>
              <w:rPr>
                <w:sz w:val="21"/>
                <w:szCs w:val="21"/>
              </w:rPr>
            </w:pPr>
          </w:p>
          <w:p w:rsidR="006A6889" w:rsidRDefault="006A6889">
            <w:pPr>
              <w:spacing w:line="100" w:lineRule="atLeast"/>
              <w:jc w:val="center"/>
              <w:rPr>
                <w:sz w:val="21"/>
                <w:szCs w:val="21"/>
              </w:rPr>
            </w:pPr>
            <w:r>
              <w:rPr>
                <w:sz w:val="21"/>
                <w:szCs w:val="21"/>
              </w:rPr>
              <w:t>RM’000</w:t>
            </w:r>
          </w:p>
        </w:tc>
        <w:tc>
          <w:tcPr>
            <w:tcW w:w="1622" w:type="dxa"/>
          </w:tcPr>
          <w:p w:rsidR="006A6889" w:rsidRDefault="00843E12">
            <w:pPr>
              <w:spacing w:line="100" w:lineRule="atLeast"/>
              <w:jc w:val="center"/>
              <w:rPr>
                <w:sz w:val="21"/>
                <w:szCs w:val="21"/>
              </w:rPr>
            </w:pPr>
            <w:r>
              <w:rPr>
                <w:sz w:val="21"/>
                <w:szCs w:val="21"/>
              </w:rPr>
              <w:t xml:space="preserve">Twelve </w:t>
            </w:r>
            <w:r w:rsidR="006A6889">
              <w:rPr>
                <w:sz w:val="21"/>
                <w:szCs w:val="21"/>
              </w:rPr>
              <w:t>(</w:t>
            </w:r>
            <w:r>
              <w:rPr>
                <w:sz w:val="21"/>
                <w:szCs w:val="21"/>
              </w:rPr>
              <w:t>12</w:t>
            </w:r>
            <w:r w:rsidR="006A6889">
              <w:rPr>
                <w:sz w:val="21"/>
                <w:szCs w:val="21"/>
              </w:rPr>
              <w:t>) Months</w:t>
            </w:r>
          </w:p>
          <w:p w:rsidR="006A6889" w:rsidRDefault="006A6889">
            <w:pPr>
              <w:spacing w:line="100" w:lineRule="atLeast"/>
              <w:jc w:val="center"/>
              <w:rPr>
                <w:sz w:val="21"/>
                <w:szCs w:val="21"/>
              </w:rPr>
            </w:pPr>
            <w:r>
              <w:rPr>
                <w:sz w:val="21"/>
                <w:szCs w:val="21"/>
              </w:rPr>
              <w:t>Cumulative to</w:t>
            </w:r>
          </w:p>
          <w:p w:rsidR="006A6889" w:rsidRDefault="00843E12">
            <w:pPr>
              <w:spacing w:line="100" w:lineRule="atLeast"/>
              <w:jc w:val="center"/>
              <w:rPr>
                <w:sz w:val="21"/>
                <w:szCs w:val="21"/>
              </w:rPr>
            </w:pPr>
            <w:r>
              <w:rPr>
                <w:sz w:val="21"/>
                <w:szCs w:val="21"/>
              </w:rPr>
              <w:t xml:space="preserve"> 30  September </w:t>
            </w:r>
            <w:r w:rsidR="006A6889">
              <w:rPr>
                <w:sz w:val="21"/>
                <w:szCs w:val="21"/>
              </w:rPr>
              <w:t>2015</w:t>
            </w:r>
          </w:p>
          <w:p w:rsidR="00665ED5" w:rsidRDefault="00665ED5">
            <w:pPr>
              <w:spacing w:line="100" w:lineRule="atLeast"/>
              <w:jc w:val="center"/>
              <w:rPr>
                <w:sz w:val="21"/>
                <w:szCs w:val="21"/>
              </w:rPr>
            </w:pPr>
          </w:p>
          <w:p w:rsidR="006A6889" w:rsidRDefault="00843E12" w:rsidP="00843E12">
            <w:pPr>
              <w:spacing w:line="100" w:lineRule="atLeast"/>
              <w:rPr>
                <w:sz w:val="21"/>
                <w:szCs w:val="21"/>
              </w:rPr>
            </w:pPr>
            <w:r>
              <w:rPr>
                <w:sz w:val="21"/>
                <w:szCs w:val="21"/>
              </w:rPr>
              <w:t xml:space="preserve">     </w:t>
            </w:r>
            <w:r w:rsidR="006A6889">
              <w:rPr>
                <w:sz w:val="21"/>
                <w:szCs w:val="21"/>
              </w:rPr>
              <w:t>RM’000</w:t>
            </w:r>
          </w:p>
          <w:p w:rsidR="006A6889" w:rsidRDefault="006A6889">
            <w:pPr>
              <w:spacing w:line="100" w:lineRule="atLeast"/>
              <w:jc w:val="center"/>
              <w:rPr>
                <w:sz w:val="21"/>
                <w:szCs w:val="21"/>
              </w:rPr>
            </w:pPr>
          </w:p>
        </w:tc>
      </w:tr>
      <w:tr w:rsidR="006A6889" w:rsidTr="006A6889">
        <w:tc>
          <w:tcPr>
            <w:tcW w:w="4787" w:type="dxa"/>
            <w:hideMark/>
          </w:tcPr>
          <w:p w:rsidR="006A6889" w:rsidRDefault="006A6889">
            <w:pPr>
              <w:spacing w:line="100" w:lineRule="atLeast"/>
              <w:jc w:val="both"/>
              <w:rPr>
                <w:bCs/>
                <w:sz w:val="21"/>
                <w:szCs w:val="21"/>
              </w:rPr>
            </w:pPr>
            <w:r>
              <w:rPr>
                <w:bCs/>
                <w:sz w:val="21"/>
                <w:szCs w:val="21"/>
              </w:rPr>
              <w:t>Current tax expenses</w:t>
            </w:r>
          </w:p>
        </w:tc>
        <w:tc>
          <w:tcPr>
            <w:tcW w:w="1799" w:type="dxa"/>
            <w:hideMark/>
          </w:tcPr>
          <w:p w:rsidR="006A6889" w:rsidRDefault="00843E12">
            <w:pPr>
              <w:spacing w:line="100" w:lineRule="atLeast"/>
              <w:ind w:left="236" w:right="114"/>
              <w:jc w:val="center"/>
              <w:rPr>
                <w:bCs/>
                <w:sz w:val="21"/>
                <w:szCs w:val="21"/>
              </w:rPr>
            </w:pPr>
            <w:r>
              <w:rPr>
                <w:bCs/>
                <w:sz w:val="21"/>
                <w:szCs w:val="21"/>
              </w:rPr>
              <w:t>143</w:t>
            </w:r>
          </w:p>
        </w:tc>
        <w:tc>
          <w:tcPr>
            <w:tcW w:w="1622" w:type="dxa"/>
            <w:hideMark/>
          </w:tcPr>
          <w:p w:rsidR="006A6889" w:rsidRDefault="00665ED5">
            <w:pPr>
              <w:spacing w:line="100" w:lineRule="atLeast"/>
              <w:ind w:left="122" w:right="221"/>
              <w:jc w:val="center"/>
            </w:pPr>
            <w:r>
              <w:rPr>
                <w:bCs/>
                <w:sz w:val="21"/>
                <w:szCs w:val="21"/>
              </w:rPr>
              <w:t>759</w:t>
            </w:r>
          </w:p>
        </w:tc>
      </w:tr>
      <w:tr w:rsidR="006A6889" w:rsidTr="006A6889">
        <w:tc>
          <w:tcPr>
            <w:tcW w:w="4787" w:type="dxa"/>
            <w:hideMark/>
          </w:tcPr>
          <w:p w:rsidR="006A6889" w:rsidRDefault="006A6889">
            <w:pPr>
              <w:spacing w:line="100" w:lineRule="atLeast"/>
              <w:jc w:val="both"/>
              <w:rPr>
                <w:bCs/>
                <w:sz w:val="21"/>
                <w:szCs w:val="21"/>
              </w:rPr>
            </w:pPr>
            <w:r>
              <w:rPr>
                <w:bCs/>
                <w:sz w:val="21"/>
                <w:szCs w:val="21"/>
              </w:rPr>
              <w:t>Deferred tax expenses</w:t>
            </w:r>
          </w:p>
        </w:tc>
        <w:tc>
          <w:tcPr>
            <w:tcW w:w="1799" w:type="dxa"/>
            <w:hideMark/>
          </w:tcPr>
          <w:p w:rsidR="006A6889" w:rsidRDefault="006A6889">
            <w:pPr>
              <w:tabs>
                <w:tab w:val="left" w:pos="5779"/>
              </w:tabs>
              <w:spacing w:line="100" w:lineRule="atLeast"/>
              <w:ind w:left="228" w:right="114"/>
              <w:jc w:val="center"/>
              <w:rPr>
                <w:bCs/>
                <w:sz w:val="21"/>
                <w:szCs w:val="21"/>
              </w:rPr>
            </w:pPr>
            <w:r>
              <w:rPr>
                <w:bCs/>
                <w:sz w:val="21"/>
                <w:szCs w:val="21"/>
              </w:rPr>
              <w:t xml:space="preserve">  - </w:t>
            </w:r>
          </w:p>
        </w:tc>
        <w:tc>
          <w:tcPr>
            <w:tcW w:w="1622" w:type="dxa"/>
            <w:hideMark/>
          </w:tcPr>
          <w:p w:rsidR="006A6889" w:rsidRDefault="006A6889">
            <w:pPr>
              <w:spacing w:line="100" w:lineRule="atLeast"/>
              <w:ind w:right="440"/>
              <w:jc w:val="center"/>
            </w:pPr>
            <w:r>
              <w:rPr>
                <w:bCs/>
                <w:sz w:val="21"/>
                <w:szCs w:val="21"/>
              </w:rPr>
              <w:t xml:space="preserve">       -</w:t>
            </w:r>
          </w:p>
        </w:tc>
      </w:tr>
      <w:tr w:rsidR="006A6889" w:rsidTr="006A6889">
        <w:tc>
          <w:tcPr>
            <w:tcW w:w="4787" w:type="dxa"/>
          </w:tcPr>
          <w:p w:rsidR="006A6889" w:rsidRDefault="006A6889">
            <w:pPr>
              <w:snapToGrid w:val="0"/>
              <w:spacing w:line="100" w:lineRule="atLeast"/>
              <w:jc w:val="both"/>
              <w:rPr>
                <w:b/>
                <w:bCs/>
                <w:sz w:val="21"/>
                <w:szCs w:val="21"/>
              </w:rPr>
            </w:pPr>
          </w:p>
        </w:tc>
        <w:tc>
          <w:tcPr>
            <w:tcW w:w="1799" w:type="dxa"/>
            <w:tcBorders>
              <w:top w:val="nil"/>
              <w:left w:val="nil"/>
              <w:bottom w:val="single" w:sz="4" w:space="0" w:color="000000"/>
              <w:right w:val="nil"/>
            </w:tcBorders>
          </w:tcPr>
          <w:p w:rsidR="006A6889" w:rsidRDefault="006A6889">
            <w:pPr>
              <w:snapToGrid w:val="0"/>
              <w:spacing w:line="100" w:lineRule="atLeast"/>
              <w:jc w:val="center"/>
              <w:rPr>
                <w:bCs/>
                <w:sz w:val="21"/>
                <w:szCs w:val="21"/>
              </w:rPr>
            </w:pPr>
          </w:p>
        </w:tc>
        <w:tc>
          <w:tcPr>
            <w:tcW w:w="1622" w:type="dxa"/>
            <w:tcBorders>
              <w:top w:val="nil"/>
              <w:left w:val="nil"/>
              <w:bottom w:val="single" w:sz="4" w:space="0" w:color="000000"/>
              <w:right w:val="nil"/>
            </w:tcBorders>
          </w:tcPr>
          <w:p w:rsidR="006A6889" w:rsidRDefault="006A6889">
            <w:pPr>
              <w:snapToGrid w:val="0"/>
              <w:spacing w:line="100" w:lineRule="atLeast"/>
              <w:jc w:val="center"/>
              <w:rPr>
                <w:bCs/>
                <w:sz w:val="21"/>
                <w:szCs w:val="21"/>
              </w:rPr>
            </w:pPr>
          </w:p>
        </w:tc>
      </w:tr>
      <w:tr w:rsidR="006A6889" w:rsidTr="006A6889">
        <w:tc>
          <w:tcPr>
            <w:tcW w:w="4787" w:type="dxa"/>
            <w:hideMark/>
          </w:tcPr>
          <w:p w:rsidR="006A6889" w:rsidRDefault="006A6889">
            <w:pPr>
              <w:spacing w:line="100" w:lineRule="atLeast"/>
              <w:jc w:val="both"/>
              <w:rPr>
                <w:bCs/>
                <w:sz w:val="21"/>
                <w:szCs w:val="21"/>
              </w:rPr>
            </w:pPr>
            <w:r>
              <w:rPr>
                <w:b/>
                <w:sz w:val="22"/>
              </w:rPr>
              <w:t xml:space="preserve">    </w:t>
            </w:r>
          </w:p>
        </w:tc>
        <w:tc>
          <w:tcPr>
            <w:tcW w:w="1799" w:type="dxa"/>
            <w:tcBorders>
              <w:top w:val="single" w:sz="4" w:space="0" w:color="000000"/>
              <w:left w:val="nil"/>
              <w:bottom w:val="double" w:sz="2" w:space="0" w:color="000000"/>
              <w:right w:val="nil"/>
            </w:tcBorders>
            <w:hideMark/>
          </w:tcPr>
          <w:p w:rsidR="006A6889" w:rsidRDefault="00843E12">
            <w:pPr>
              <w:spacing w:line="100" w:lineRule="atLeast"/>
              <w:ind w:left="213" w:right="114"/>
              <w:jc w:val="center"/>
              <w:rPr>
                <w:bCs/>
                <w:sz w:val="21"/>
                <w:szCs w:val="21"/>
              </w:rPr>
            </w:pPr>
            <w:r>
              <w:rPr>
                <w:bCs/>
                <w:sz w:val="21"/>
                <w:szCs w:val="21"/>
              </w:rPr>
              <w:t>143</w:t>
            </w:r>
          </w:p>
        </w:tc>
        <w:tc>
          <w:tcPr>
            <w:tcW w:w="1622" w:type="dxa"/>
            <w:tcBorders>
              <w:top w:val="single" w:sz="4" w:space="0" w:color="000000"/>
              <w:left w:val="nil"/>
              <w:bottom w:val="double" w:sz="2" w:space="0" w:color="000000"/>
              <w:right w:val="nil"/>
            </w:tcBorders>
            <w:hideMark/>
          </w:tcPr>
          <w:p w:rsidR="006A6889" w:rsidRDefault="00665ED5">
            <w:pPr>
              <w:spacing w:line="100" w:lineRule="atLeast"/>
              <w:ind w:left="107" w:right="114"/>
              <w:jc w:val="center"/>
            </w:pPr>
            <w:r>
              <w:rPr>
                <w:bCs/>
                <w:sz w:val="21"/>
                <w:szCs w:val="21"/>
              </w:rPr>
              <w:t>759</w:t>
            </w:r>
          </w:p>
        </w:tc>
      </w:tr>
    </w:tbl>
    <w:p w:rsidR="006A6889" w:rsidRDefault="006A6889" w:rsidP="006A6889">
      <w:pPr>
        <w:spacing w:line="100" w:lineRule="atLeast"/>
        <w:jc w:val="both"/>
        <w:rPr>
          <w:b/>
          <w:bCs/>
          <w:sz w:val="22"/>
        </w:rPr>
      </w:pPr>
    </w:p>
    <w:p w:rsidR="006A6889" w:rsidRDefault="006A6889" w:rsidP="006A6889">
      <w:pPr>
        <w:spacing w:line="100" w:lineRule="atLeast"/>
        <w:jc w:val="both"/>
        <w:rPr>
          <w:b/>
          <w:bCs/>
          <w:sz w:val="22"/>
        </w:rPr>
      </w:pPr>
    </w:p>
    <w:p w:rsidR="006A6889" w:rsidRDefault="006A6889" w:rsidP="006A6889">
      <w:pPr>
        <w:spacing w:line="100" w:lineRule="atLeast"/>
        <w:jc w:val="both"/>
        <w:rPr>
          <w:sz w:val="22"/>
        </w:rPr>
      </w:pPr>
      <w:r>
        <w:rPr>
          <w:b/>
          <w:bCs/>
          <w:sz w:val="22"/>
        </w:rPr>
        <w:t>B6.</w:t>
      </w:r>
      <w:r>
        <w:rPr>
          <w:b/>
          <w:bCs/>
          <w:sz w:val="22"/>
        </w:rPr>
        <w:tab/>
      </w:r>
      <w:r>
        <w:rPr>
          <w:b/>
          <w:sz w:val="22"/>
        </w:rPr>
        <w:t>Profit or Loss from Sales of Unquoted Investments or Properties</w:t>
      </w:r>
    </w:p>
    <w:p w:rsidR="006A6889" w:rsidRDefault="006A6889" w:rsidP="006A6889">
      <w:pPr>
        <w:spacing w:line="100" w:lineRule="atLeast"/>
        <w:jc w:val="both"/>
        <w:rPr>
          <w:sz w:val="22"/>
        </w:rPr>
      </w:pPr>
    </w:p>
    <w:p w:rsidR="006A6889" w:rsidRDefault="006A6889" w:rsidP="006A6889">
      <w:pPr>
        <w:spacing w:line="100" w:lineRule="atLeast"/>
        <w:ind w:left="720"/>
        <w:jc w:val="both"/>
        <w:rPr>
          <w:b/>
          <w:sz w:val="22"/>
        </w:rPr>
      </w:pPr>
      <w:r>
        <w:rPr>
          <w:sz w:val="22"/>
        </w:rPr>
        <w:t>There were no sales of unquoted investment or properties for the Group.</w:t>
      </w:r>
    </w:p>
    <w:p w:rsidR="006A6889" w:rsidRDefault="006A6889" w:rsidP="006A6889">
      <w:pPr>
        <w:spacing w:line="100" w:lineRule="atLeast"/>
        <w:ind w:left="720" w:hanging="720"/>
        <w:jc w:val="both"/>
        <w:rPr>
          <w:b/>
          <w:sz w:val="22"/>
        </w:rPr>
      </w:pPr>
    </w:p>
    <w:p w:rsidR="006A6889" w:rsidRDefault="006A6889" w:rsidP="006A6889">
      <w:pPr>
        <w:spacing w:line="100" w:lineRule="atLeast"/>
        <w:ind w:left="720" w:hanging="720"/>
        <w:jc w:val="both"/>
        <w:rPr>
          <w:b/>
          <w:color w:val="000000"/>
          <w:sz w:val="22"/>
          <w:szCs w:val="22"/>
        </w:rPr>
      </w:pPr>
    </w:p>
    <w:p w:rsidR="006A6889" w:rsidRDefault="006A6889" w:rsidP="006A6889">
      <w:pPr>
        <w:spacing w:line="100" w:lineRule="atLeast"/>
        <w:ind w:left="720" w:hanging="720"/>
        <w:jc w:val="both"/>
        <w:rPr>
          <w:b/>
          <w:color w:val="000000"/>
          <w:sz w:val="22"/>
          <w:szCs w:val="22"/>
        </w:rPr>
      </w:pPr>
      <w:r>
        <w:rPr>
          <w:b/>
          <w:color w:val="000000"/>
          <w:sz w:val="22"/>
          <w:szCs w:val="22"/>
        </w:rPr>
        <w:t>B7.</w:t>
      </w:r>
      <w:r>
        <w:rPr>
          <w:b/>
          <w:color w:val="000000"/>
          <w:sz w:val="22"/>
          <w:szCs w:val="22"/>
        </w:rPr>
        <w:tab/>
        <w:t>Purchase or disposal of quoted securities</w:t>
      </w:r>
    </w:p>
    <w:p w:rsidR="006A6889" w:rsidRDefault="006A6889" w:rsidP="006A6889">
      <w:pPr>
        <w:spacing w:line="100" w:lineRule="atLeast"/>
        <w:ind w:left="720"/>
        <w:jc w:val="both"/>
        <w:rPr>
          <w:b/>
          <w:color w:val="000000"/>
          <w:sz w:val="22"/>
          <w:szCs w:val="22"/>
        </w:rPr>
      </w:pPr>
    </w:p>
    <w:p w:rsidR="006A6889" w:rsidRDefault="006A6889" w:rsidP="006A6889">
      <w:pPr>
        <w:spacing w:line="100" w:lineRule="atLeast"/>
        <w:ind w:left="720"/>
        <w:jc w:val="both"/>
        <w:rPr>
          <w:color w:val="000000"/>
          <w:sz w:val="22"/>
          <w:szCs w:val="22"/>
        </w:rPr>
      </w:pPr>
      <w:r>
        <w:rPr>
          <w:color w:val="000000"/>
          <w:sz w:val="22"/>
          <w:szCs w:val="22"/>
        </w:rPr>
        <w:t xml:space="preserve">There </w:t>
      </w:r>
      <w:r>
        <w:rPr>
          <w:color w:val="000000"/>
          <w:sz w:val="22"/>
          <w:szCs w:val="22"/>
          <w:lang w:val="en-MY"/>
        </w:rPr>
        <w:t>was</w:t>
      </w:r>
      <w:r>
        <w:rPr>
          <w:color w:val="000000"/>
          <w:sz w:val="22"/>
          <w:szCs w:val="22"/>
        </w:rPr>
        <w:t xml:space="preserve"> no purchase or disposal of quoted securities for the curren</w:t>
      </w:r>
      <w:r w:rsidR="00843E12">
        <w:rPr>
          <w:color w:val="000000"/>
          <w:sz w:val="22"/>
          <w:szCs w:val="22"/>
        </w:rPr>
        <w:t>t financial period ended 30 September</w:t>
      </w:r>
      <w:r>
        <w:rPr>
          <w:color w:val="000000"/>
          <w:sz w:val="22"/>
          <w:szCs w:val="22"/>
        </w:rPr>
        <w:t xml:space="preserve"> 2015 under review.</w:t>
      </w:r>
    </w:p>
    <w:p w:rsidR="006A6889" w:rsidRDefault="006A6889" w:rsidP="006A6889">
      <w:pPr>
        <w:spacing w:line="100" w:lineRule="atLeast"/>
        <w:ind w:left="720" w:hanging="720"/>
        <w:jc w:val="both"/>
        <w:rPr>
          <w:color w:val="000000"/>
          <w:sz w:val="22"/>
          <w:szCs w:val="22"/>
        </w:rPr>
      </w:pPr>
    </w:p>
    <w:p w:rsidR="006A6889" w:rsidRDefault="006A6889" w:rsidP="006A6889">
      <w:pPr>
        <w:spacing w:line="100" w:lineRule="atLeast"/>
        <w:ind w:left="720" w:hanging="720"/>
        <w:jc w:val="both"/>
        <w:rPr>
          <w:color w:val="000000"/>
          <w:sz w:val="22"/>
          <w:szCs w:val="22"/>
        </w:rPr>
      </w:pPr>
    </w:p>
    <w:p w:rsidR="006A6889" w:rsidRDefault="006A6889" w:rsidP="006A6889">
      <w:pPr>
        <w:spacing w:line="100" w:lineRule="atLeast"/>
        <w:ind w:left="720" w:hanging="720"/>
        <w:jc w:val="both"/>
        <w:rPr>
          <w:b/>
          <w:bCs/>
          <w:sz w:val="22"/>
        </w:rPr>
      </w:pPr>
      <w:r>
        <w:rPr>
          <w:b/>
          <w:bCs/>
          <w:sz w:val="22"/>
        </w:rPr>
        <w:t>B8.</w:t>
      </w:r>
      <w:r>
        <w:rPr>
          <w:b/>
          <w:bCs/>
          <w:sz w:val="22"/>
        </w:rPr>
        <w:tab/>
        <w:t xml:space="preserve">Corporate Proposal and </w:t>
      </w:r>
      <w:r w:rsidR="0020167C">
        <w:rPr>
          <w:b/>
          <w:bCs/>
          <w:sz w:val="22"/>
        </w:rPr>
        <w:t>Utilization</w:t>
      </w:r>
      <w:r>
        <w:rPr>
          <w:b/>
          <w:bCs/>
          <w:sz w:val="22"/>
        </w:rPr>
        <w:t xml:space="preserve"> of Proceeds</w:t>
      </w:r>
    </w:p>
    <w:p w:rsidR="006A6889" w:rsidRDefault="006A6889" w:rsidP="006A6889">
      <w:pPr>
        <w:spacing w:line="100" w:lineRule="atLeast"/>
        <w:ind w:left="720" w:hanging="720"/>
        <w:jc w:val="both"/>
        <w:rPr>
          <w:b/>
          <w:bCs/>
          <w:sz w:val="22"/>
        </w:rPr>
      </w:pPr>
    </w:p>
    <w:p w:rsidR="006A6889" w:rsidRDefault="006A6889" w:rsidP="006A6889">
      <w:pPr>
        <w:spacing w:line="100" w:lineRule="atLeast"/>
        <w:ind w:left="709"/>
        <w:jc w:val="both"/>
      </w:pPr>
      <w:r>
        <w:rPr>
          <w:sz w:val="22"/>
        </w:rPr>
        <w:t xml:space="preserve">On 29 June 2015, the Company had completed </w:t>
      </w:r>
      <w:r>
        <w:rPr>
          <w:sz w:val="22"/>
          <w:lang w:val="en-MY"/>
        </w:rPr>
        <w:t>the</w:t>
      </w:r>
      <w:r>
        <w:rPr>
          <w:sz w:val="22"/>
        </w:rPr>
        <w:t xml:space="preserve"> Corporate Proposal </w:t>
      </w:r>
      <w:r>
        <w:rPr>
          <w:sz w:val="22"/>
          <w:lang w:val="en-MY"/>
        </w:rPr>
        <w:t>dated</w:t>
      </w:r>
      <w:r>
        <w:rPr>
          <w:sz w:val="22"/>
        </w:rPr>
        <w:t xml:space="preserve"> on 28 April 2014 in relation to the following Corporate Proposals:-</w:t>
      </w:r>
      <w:r>
        <w:rPr>
          <w:sz w:val="22"/>
          <w:szCs w:val="22"/>
        </w:rPr>
        <w:t xml:space="preserve"> </w:t>
      </w:r>
    </w:p>
    <w:p w:rsidR="006A6889" w:rsidRDefault="006A6889" w:rsidP="006A6889">
      <w:pPr>
        <w:spacing w:line="100" w:lineRule="atLeast"/>
        <w:ind w:left="709"/>
        <w:jc w:val="both"/>
      </w:pPr>
    </w:p>
    <w:p w:rsidR="006A6889" w:rsidRDefault="006A6889" w:rsidP="006A6889">
      <w:pPr>
        <w:pStyle w:val="ListParagraph"/>
        <w:numPr>
          <w:ilvl w:val="0"/>
          <w:numId w:val="3"/>
        </w:numPr>
        <w:spacing w:line="100" w:lineRule="atLeast"/>
        <w:jc w:val="both"/>
        <w:rPr>
          <w:sz w:val="22"/>
          <w:szCs w:val="22"/>
        </w:rPr>
      </w:pPr>
      <w:r>
        <w:rPr>
          <w:sz w:val="22"/>
          <w:szCs w:val="22"/>
        </w:rPr>
        <w:t>Proposed Share Capital Reduction</w:t>
      </w:r>
    </w:p>
    <w:p w:rsidR="006A6889" w:rsidRDefault="006A6889" w:rsidP="006A6889">
      <w:pPr>
        <w:pStyle w:val="ListParagraph"/>
        <w:numPr>
          <w:ilvl w:val="0"/>
          <w:numId w:val="3"/>
        </w:numPr>
        <w:spacing w:line="100" w:lineRule="atLeast"/>
        <w:jc w:val="both"/>
        <w:rPr>
          <w:sz w:val="22"/>
          <w:szCs w:val="22"/>
        </w:rPr>
      </w:pPr>
      <w:r>
        <w:rPr>
          <w:sz w:val="22"/>
          <w:szCs w:val="22"/>
        </w:rPr>
        <w:t>Proposed Right</w:t>
      </w:r>
      <w:r>
        <w:rPr>
          <w:sz w:val="22"/>
          <w:szCs w:val="22"/>
          <w:lang w:val="en-MY"/>
        </w:rPr>
        <w:t>s</w:t>
      </w:r>
      <w:r>
        <w:rPr>
          <w:sz w:val="22"/>
          <w:szCs w:val="22"/>
        </w:rPr>
        <w:t xml:space="preserve"> Issue</w:t>
      </w:r>
    </w:p>
    <w:p w:rsidR="006A6889" w:rsidRDefault="006A6889" w:rsidP="006A6889">
      <w:pPr>
        <w:pStyle w:val="ListParagraph"/>
        <w:numPr>
          <w:ilvl w:val="0"/>
          <w:numId w:val="3"/>
        </w:numPr>
        <w:spacing w:line="100" w:lineRule="atLeast"/>
        <w:jc w:val="both"/>
        <w:rPr>
          <w:sz w:val="22"/>
          <w:szCs w:val="22"/>
        </w:rPr>
      </w:pPr>
      <w:r>
        <w:rPr>
          <w:sz w:val="22"/>
          <w:szCs w:val="22"/>
        </w:rPr>
        <w:t>Proposed Increase in Authorized Share Capital</w:t>
      </w:r>
    </w:p>
    <w:p w:rsidR="006A6889" w:rsidRDefault="006A6889" w:rsidP="006A6889">
      <w:pPr>
        <w:pStyle w:val="ListParagraph"/>
        <w:numPr>
          <w:ilvl w:val="0"/>
          <w:numId w:val="3"/>
        </w:numPr>
        <w:spacing w:line="100" w:lineRule="atLeast"/>
        <w:jc w:val="both"/>
        <w:rPr>
          <w:bCs/>
          <w:sz w:val="21"/>
          <w:szCs w:val="21"/>
        </w:rPr>
      </w:pPr>
      <w:r>
        <w:rPr>
          <w:sz w:val="22"/>
          <w:szCs w:val="22"/>
        </w:rPr>
        <w:t>Proposed Memorandum &amp; Articles of Association Amendment.</w:t>
      </w:r>
    </w:p>
    <w:p w:rsidR="006A6889" w:rsidRDefault="006A6889" w:rsidP="006A6889">
      <w:pPr>
        <w:spacing w:line="100" w:lineRule="atLeast"/>
        <w:ind w:left="1440" w:firstLine="3"/>
        <w:jc w:val="both"/>
        <w:rPr>
          <w:bCs/>
          <w:sz w:val="21"/>
          <w:szCs w:val="21"/>
        </w:rPr>
      </w:pPr>
    </w:p>
    <w:p w:rsidR="00F46FDA" w:rsidRDefault="00F46FDA" w:rsidP="00952655">
      <w:pPr>
        <w:spacing w:line="100" w:lineRule="atLeast"/>
        <w:jc w:val="both"/>
        <w:rPr>
          <w:bCs/>
          <w:sz w:val="21"/>
          <w:szCs w:val="21"/>
        </w:rPr>
      </w:pPr>
    </w:p>
    <w:p w:rsidR="00F46FDA" w:rsidRDefault="00F46FDA" w:rsidP="00952655">
      <w:pPr>
        <w:spacing w:line="100" w:lineRule="atLeast"/>
        <w:jc w:val="both"/>
        <w:rPr>
          <w:bCs/>
          <w:sz w:val="21"/>
          <w:szCs w:val="21"/>
        </w:rPr>
      </w:pPr>
    </w:p>
    <w:p w:rsidR="006A6889" w:rsidRPr="00952655" w:rsidRDefault="006A6889" w:rsidP="00952655">
      <w:pPr>
        <w:spacing w:line="100" w:lineRule="atLeast"/>
        <w:jc w:val="both"/>
      </w:pPr>
      <w:r>
        <w:rPr>
          <w:bCs/>
          <w:sz w:val="21"/>
          <w:szCs w:val="21"/>
        </w:rPr>
        <w:tab/>
        <w:t xml:space="preserve">For further details, please refer to Bursa’s </w:t>
      </w:r>
      <w:r w:rsidR="00391CDE">
        <w:rPr>
          <w:bCs/>
          <w:sz w:val="21"/>
          <w:szCs w:val="21"/>
        </w:rPr>
        <w:t>announcements</w:t>
      </w:r>
      <w:r>
        <w:rPr>
          <w:bCs/>
          <w:sz w:val="21"/>
          <w:szCs w:val="21"/>
        </w:rPr>
        <w:t xml:space="preserve"> dated 28 April 2014, 5 May 2014, 12 </w:t>
      </w:r>
      <w:r>
        <w:rPr>
          <w:bCs/>
          <w:sz w:val="21"/>
          <w:szCs w:val="21"/>
        </w:rPr>
        <w:tab/>
        <w:t xml:space="preserve">August </w:t>
      </w:r>
      <w:r>
        <w:rPr>
          <w:bCs/>
          <w:sz w:val="21"/>
          <w:szCs w:val="21"/>
        </w:rPr>
        <w:tab/>
        <w:t xml:space="preserve">2014, 5 November 2014, 20 January 2015, 27 March 2015 </w:t>
      </w:r>
      <w:r>
        <w:rPr>
          <w:bCs/>
          <w:sz w:val="21"/>
          <w:szCs w:val="21"/>
          <w:lang w:val="en-MY"/>
        </w:rPr>
        <w:t xml:space="preserve">and 29 June 2015 </w:t>
      </w:r>
      <w:r>
        <w:rPr>
          <w:bCs/>
          <w:sz w:val="21"/>
          <w:szCs w:val="21"/>
        </w:rPr>
        <w:t>respectively.</w:t>
      </w:r>
    </w:p>
    <w:p w:rsidR="006A6889" w:rsidRDefault="006A6889" w:rsidP="00F46FDA">
      <w:pPr>
        <w:spacing w:line="100" w:lineRule="atLeast"/>
        <w:jc w:val="both"/>
        <w:rPr>
          <w:bCs/>
          <w:sz w:val="22"/>
          <w:szCs w:val="21"/>
        </w:rPr>
      </w:pPr>
    </w:p>
    <w:p w:rsidR="006A6889" w:rsidRPr="00F46FDA" w:rsidRDefault="006A6889" w:rsidP="00F46FDA">
      <w:pPr>
        <w:spacing w:line="100" w:lineRule="atLeast"/>
        <w:ind w:left="720" w:firstLine="3"/>
        <w:jc w:val="both"/>
      </w:pPr>
      <w:r>
        <w:rPr>
          <w:bCs/>
          <w:sz w:val="22"/>
          <w:szCs w:val="21"/>
        </w:rPr>
        <w:t xml:space="preserve">The Company </w:t>
      </w:r>
      <w:r>
        <w:rPr>
          <w:bCs/>
          <w:sz w:val="22"/>
          <w:szCs w:val="21"/>
          <w:lang w:val="en-MY"/>
        </w:rPr>
        <w:t>had</w:t>
      </w:r>
      <w:r>
        <w:rPr>
          <w:bCs/>
          <w:sz w:val="22"/>
          <w:szCs w:val="21"/>
        </w:rPr>
        <w:t xml:space="preserve"> observed the </w:t>
      </w:r>
      <w:r>
        <w:rPr>
          <w:bCs/>
          <w:sz w:val="22"/>
          <w:szCs w:val="21"/>
          <w:lang w:val="en-MY"/>
        </w:rPr>
        <w:t xml:space="preserve">provisions for </w:t>
      </w:r>
      <w:r>
        <w:rPr>
          <w:bCs/>
          <w:sz w:val="22"/>
          <w:szCs w:val="21"/>
        </w:rPr>
        <w:t xml:space="preserve">utilization </w:t>
      </w:r>
      <w:r>
        <w:rPr>
          <w:bCs/>
          <w:sz w:val="22"/>
          <w:szCs w:val="21"/>
          <w:lang w:val="en-MY"/>
        </w:rPr>
        <w:t xml:space="preserve">of </w:t>
      </w:r>
      <w:r>
        <w:rPr>
          <w:bCs/>
          <w:sz w:val="22"/>
          <w:szCs w:val="21"/>
        </w:rPr>
        <w:t xml:space="preserve">proceeds as stated in Abridged Prospectus of the Rights Issue by </w:t>
      </w:r>
      <w:r>
        <w:rPr>
          <w:bCs/>
          <w:sz w:val="22"/>
          <w:szCs w:val="21"/>
          <w:lang w:val="en-MY"/>
        </w:rPr>
        <w:t xml:space="preserve">effecting </w:t>
      </w:r>
      <w:r>
        <w:rPr>
          <w:bCs/>
          <w:sz w:val="22"/>
          <w:szCs w:val="21"/>
        </w:rPr>
        <w:t xml:space="preserve">full settlement of the long outstanding Islamic Term Loan with Maybank Islamic Berhad </w:t>
      </w:r>
      <w:r>
        <w:rPr>
          <w:bCs/>
          <w:sz w:val="22"/>
          <w:szCs w:val="21"/>
          <w:lang w:val="en-MY"/>
        </w:rPr>
        <w:t>owed</w:t>
      </w:r>
      <w:r>
        <w:rPr>
          <w:bCs/>
          <w:sz w:val="22"/>
          <w:szCs w:val="21"/>
        </w:rPr>
        <w:t xml:space="preserve"> by one of the fully owned subsidiary </w:t>
      </w:r>
      <w:r w:rsidR="00391CDE">
        <w:rPr>
          <w:bCs/>
          <w:sz w:val="22"/>
          <w:szCs w:val="21"/>
        </w:rPr>
        <w:t>company</w:t>
      </w:r>
      <w:r>
        <w:rPr>
          <w:bCs/>
          <w:sz w:val="22"/>
          <w:szCs w:val="21"/>
        </w:rPr>
        <w:t xml:space="preserve"> subsequent to the successful Rights Issue exercise.</w:t>
      </w:r>
    </w:p>
    <w:p w:rsidR="006A6889" w:rsidRDefault="006A6889" w:rsidP="006A6889">
      <w:pPr>
        <w:spacing w:line="100" w:lineRule="atLeast"/>
        <w:ind w:left="1440" w:firstLine="4"/>
        <w:jc w:val="both"/>
        <w:rPr>
          <w:b/>
        </w:rPr>
      </w:pPr>
    </w:p>
    <w:p w:rsidR="006A6889" w:rsidRDefault="006A6889" w:rsidP="006A6889">
      <w:pPr>
        <w:pStyle w:val="Heading5"/>
        <w:numPr>
          <w:ilvl w:val="4"/>
          <w:numId w:val="1"/>
        </w:numPr>
        <w:spacing w:line="100" w:lineRule="atLeast"/>
        <w:ind w:left="720" w:hanging="720"/>
      </w:pPr>
      <w:r>
        <w:t>B9.</w:t>
      </w:r>
      <w:r>
        <w:tab/>
        <w:t>Group Borrowings and Debt Securities</w:t>
      </w:r>
    </w:p>
    <w:p w:rsidR="006A6889" w:rsidRDefault="006A6889" w:rsidP="006A6889">
      <w:pPr>
        <w:spacing w:line="100" w:lineRule="atLeast"/>
        <w:rPr>
          <w:b/>
        </w:rPr>
      </w:pPr>
    </w:p>
    <w:p w:rsidR="006A6889" w:rsidRDefault="006A6889" w:rsidP="006A6889">
      <w:pPr>
        <w:spacing w:line="100" w:lineRule="atLeast"/>
      </w:pPr>
      <w:r>
        <w:rPr>
          <w:b/>
        </w:rPr>
        <w:tab/>
      </w:r>
      <w:r>
        <w:rPr>
          <w:sz w:val="22"/>
        </w:rPr>
        <w:t xml:space="preserve">The total </w:t>
      </w:r>
      <w:r w:rsidR="00843E12">
        <w:rPr>
          <w:sz w:val="22"/>
        </w:rPr>
        <w:t>Group’s borrowings as at 30 September</w:t>
      </w:r>
      <w:r>
        <w:rPr>
          <w:sz w:val="22"/>
        </w:rPr>
        <w:t xml:space="preserve"> 2015 are as follows:-</w:t>
      </w:r>
    </w:p>
    <w:tbl>
      <w:tblPr>
        <w:tblW w:w="0" w:type="auto"/>
        <w:tblInd w:w="829" w:type="dxa"/>
        <w:tblLayout w:type="fixed"/>
        <w:tblLook w:val="04A0" w:firstRow="1" w:lastRow="0" w:firstColumn="1" w:lastColumn="0" w:noHBand="0" w:noVBand="1"/>
      </w:tblPr>
      <w:tblGrid>
        <w:gridCol w:w="2093"/>
        <w:gridCol w:w="2874"/>
        <w:gridCol w:w="1682"/>
        <w:gridCol w:w="1542"/>
      </w:tblGrid>
      <w:tr w:rsidR="006A6889" w:rsidTr="006A6889">
        <w:tc>
          <w:tcPr>
            <w:tcW w:w="2093" w:type="dxa"/>
            <w:vAlign w:val="bottom"/>
          </w:tcPr>
          <w:p w:rsidR="006A6889" w:rsidRDefault="006A6889">
            <w:pPr>
              <w:spacing w:line="100" w:lineRule="atLeast"/>
              <w:ind w:firstLine="72"/>
              <w:jc w:val="both"/>
              <w:rPr>
                <w:sz w:val="21"/>
                <w:szCs w:val="21"/>
              </w:rPr>
            </w:pPr>
            <w:r>
              <w:rPr>
                <w:sz w:val="21"/>
                <w:szCs w:val="21"/>
              </w:rPr>
              <w:tab/>
            </w:r>
          </w:p>
          <w:p w:rsidR="006A6889" w:rsidRDefault="006A6889">
            <w:pPr>
              <w:spacing w:line="100" w:lineRule="atLeast"/>
              <w:ind w:firstLine="72"/>
              <w:jc w:val="both"/>
              <w:rPr>
                <w:sz w:val="21"/>
                <w:szCs w:val="21"/>
              </w:rPr>
            </w:pPr>
          </w:p>
          <w:p w:rsidR="006A6889" w:rsidRDefault="006A6889">
            <w:pPr>
              <w:spacing w:line="100" w:lineRule="atLeast"/>
              <w:ind w:firstLine="72"/>
              <w:jc w:val="both"/>
              <w:rPr>
                <w:sz w:val="21"/>
                <w:szCs w:val="21"/>
              </w:rPr>
            </w:pPr>
          </w:p>
          <w:p w:rsidR="006A6889" w:rsidRDefault="006A6889">
            <w:pPr>
              <w:spacing w:line="100" w:lineRule="atLeast"/>
              <w:ind w:firstLine="72"/>
              <w:jc w:val="both"/>
              <w:rPr>
                <w:sz w:val="21"/>
                <w:szCs w:val="21"/>
              </w:rPr>
            </w:pPr>
          </w:p>
          <w:p w:rsidR="006A6889" w:rsidRDefault="006A6889">
            <w:pPr>
              <w:spacing w:line="100" w:lineRule="atLeast"/>
              <w:ind w:firstLine="72"/>
              <w:jc w:val="both"/>
              <w:rPr>
                <w:sz w:val="21"/>
                <w:szCs w:val="21"/>
              </w:rPr>
            </w:pPr>
          </w:p>
          <w:p w:rsidR="006A6889" w:rsidRDefault="006A6889">
            <w:pPr>
              <w:spacing w:line="100" w:lineRule="atLeast"/>
              <w:ind w:firstLine="72"/>
              <w:jc w:val="both"/>
              <w:rPr>
                <w:sz w:val="21"/>
                <w:szCs w:val="21"/>
              </w:rPr>
            </w:pPr>
          </w:p>
          <w:p w:rsidR="006A6889" w:rsidRDefault="006A6889">
            <w:pPr>
              <w:spacing w:line="100" w:lineRule="atLeast"/>
              <w:ind w:left="5" w:hanging="113"/>
              <w:jc w:val="both"/>
              <w:rPr>
                <w:sz w:val="21"/>
                <w:szCs w:val="21"/>
              </w:rPr>
            </w:pPr>
            <w:r>
              <w:rPr>
                <w:sz w:val="21"/>
                <w:szCs w:val="21"/>
              </w:rPr>
              <w:t xml:space="preserve">   Secured :-</w:t>
            </w:r>
          </w:p>
          <w:p w:rsidR="006A6889" w:rsidRDefault="006A6889">
            <w:pPr>
              <w:spacing w:line="100" w:lineRule="atLeast"/>
              <w:ind w:firstLine="72"/>
              <w:jc w:val="both"/>
              <w:rPr>
                <w:bCs/>
                <w:sz w:val="21"/>
                <w:szCs w:val="21"/>
              </w:rPr>
            </w:pPr>
            <w:r>
              <w:rPr>
                <w:sz w:val="21"/>
                <w:szCs w:val="21"/>
              </w:rPr>
              <w:t xml:space="preserve">Bank Overdrafts </w:t>
            </w:r>
          </w:p>
        </w:tc>
        <w:tc>
          <w:tcPr>
            <w:tcW w:w="2874" w:type="dxa"/>
          </w:tcPr>
          <w:p w:rsidR="006A6889" w:rsidRDefault="006A6889">
            <w:pPr>
              <w:snapToGrid w:val="0"/>
              <w:spacing w:line="100" w:lineRule="atLeast"/>
              <w:jc w:val="right"/>
              <w:rPr>
                <w:bCs/>
                <w:sz w:val="21"/>
                <w:szCs w:val="21"/>
              </w:rPr>
            </w:pPr>
          </w:p>
          <w:p w:rsidR="006A6889" w:rsidRDefault="006A6889">
            <w:pPr>
              <w:spacing w:line="100" w:lineRule="atLeast"/>
              <w:jc w:val="right"/>
              <w:rPr>
                <w:bCs/>
                <w:sz w:val="21"/>
                <w:szCs w:val="21"/>
              </w:rPr>
            </w:pPr>
            <w:r>
              <w:rPr>
                <w:bCs/>
                <w:sz w:val="21"/>
                <w:szCs w:val="21"/>
              </w:rPr>
              <w:t>Short Term</w:t>
            </w:r>
          </w:p>
          <w:p w:rsidR="006A6889" w:rsidRDefault="006A6889">
            <w:pPr>
              <w:spacing w:line="100" w:lineRule="atLeast"/>
              <w:jc w:val="right"/>
              <w:rPr>
                <w:bCs/>
                <w:sz w:val="21"/>
                <w:szCs w:val="21"/>
              </w:rPr>
            </w:pPr>
            <w:r>
              <w:rPr>
                <w:bCs/>
                <w:sz w:val="21"/>
                <w:szCs w:val="21"/>
              </w:rPr>
              <w:t>Borrowings</w:t>
            </w:r>
          </w:p>
          <w:p w:rsidR="006A6889" w:rsidRDefault="006A6889">
            <w:pPr>
              <w:spacing w:line="100" w:lineRule="atLeast"/>
              <w:jc w:val="right"/>
              <w:rPr>
                <w:bCs/>
                <w:sz w:val="21"/>
                <w:szCs w:val="21"/>
              </w:rPr>
            </w:pPr>
            <w:r>
              <w:rPr>
                <w:bCs/>
                <w:sz w:val="21"/>
                <w:szCs w:val="21"/>
              </w:rPr>
              <w:t>(Less than 12</w:t>
            </w:r>
          </w:p>
          <w:p w:rsidR="006A6889" w:rsidRDefault="006A6889">
            <w:pPr>
              <w:spacing w:line="100" w:lineRule="atLeast"/>
              <w:jc w:val="right"/>
              <w:rPr>
                <w:sz w:val="21"/>
                <w:szCs w:val="21"/>
              </w:rPr>
            </w:pPr>
            <w:r>
              <w:rPr>
                <w:bCs/>
                <w:sz w:val="21"/>
                <w:szCs w:val="21"/>
              </w:rPr>
              <w:t>months)</w:t>
            </w:r>
          </w:p>
          <w:p w:rsidR="006A6889" w:rsidRDefault="006A6889">
            <w:pPr>
              <w:pStyle w:val="StyleRight"/>
              <w:spacing w:line="100" w:lineRule="atLeast"/>
              <w:rPr>
                <w:sz w:val="21"/>
                <w:szCs w:val="21"/>
              </w:rPr>
            </w:pPr>
          </w:p>
          <w:p w:rsidR="006A6889" w:rsidRDefault="006A6889">
            <w:pPr>
              <w:pStyle w:val="StyleRight"/>
              <w:spacing w:line="100" w:lineRule="atLeast"/>
              <w:rPr>
                <w:sz w:val="21"/>
                <w:szCs w:val="21"/>
              </w:rPr>
            </w:pPr>
            <w:r>
              <w:rPr>
                <w:sz w:val="21"/>
                <w:szCs w:val="21"/>
              </w:rPr>
              <w:t>RM’000</w:t>
            </w:r>
          </w:p>
          <w:p w:rsidR="006A6889" w:rsidRDefault="006A6889">
            <w:pPr>
              <w:spacing w:line="100" w:lineRule="atLeast"/>
              <w:jc w:val="center"/>
              <w:rPr>
                <w:sz w:val="21"/>
                <w:szCs w:val="21"/>
              </w:rPr>
            </w:pPr>
          </w:p>
          <w:p w:rsidR="006A6889" w:rsidRDefault="008E307E">
            <w:pPr>
              <w:pStyle w:val="Footer"/>
              <w:tabs>
                <w:tab w:val="left" w:pos="720"/>
              </w:tabs>
              <w:spacing w:line="100" w:lineRule="atLeast"/>
              <w:jc w:val="right"/>
              <w:rPr>
                <w:bCs/>
                <w:sz w:val="21"/>
                <w:szCs w:val="21"/>
              </w:rPr>
            </w:pPr>
            <w:r>
              <w:rPr>
                <w:sz w:val="21"/>
                <w:szCs w:val="21"/>
              </w:rPr>
              <w:t>14,031</w:t>
            </w:r>
          </w:p>
        </w:tc>
        <w:tc>
          <w:tcPr>
            <w:tcW w:w="1682" w:type="dxa"/>
          </w:tcPr>
          <w:p w:rsidR="006A6889" w:rsidRDefault="006A6889">
            <w:pPr>
              <w:pStyle w:val="Footer"/>
              <w:tabs>
                <w:tab w:val="left" w:pos="720"/>
              </w:tabs>
              <w:snapToGrid w:val="0"/>
              <w:spacing w:line="100" w:lineRule="atLeast"/>
              <w:jc w:val="right"/>
              <w:rPr>
                <w:bCs/>
                <w:sz w:val="21"/>
                <w:szCs w:val="21"/>
              </w:rPr>
            </w:pPr>
          </w:p>
          <w:p w:rsidR="006A6889" w:rsidRDefault="006A6889">
            <w:pPr>
              <w:pStyle w:val="Footer"/>
              <w:tabs>
                <w:tab w:val="left" w:pos="720"/>
              </w:tabs>
              <w:spacing w:line="100" w:lineRule="atLeast"/>
              <w:jc w:val="right"/>
              <w:rPr>
                <w:bCs/>
                <w:sz w:val="21"/>
                <w:szCs w:val="21"/>
              </w:rPr>
            </w:pPr>
            <w:r>
              <w:rPr>
                <w:bCs/>
                <w:sz w:val="21"/>
                <w:szCs w:val="21"/>
              </w:rPr>
              <w:t>Long Term Borrowings</w:t>
            </w:r>
          </w:p>
          <w:p w:rsidR="006A6889" w:rsidRDefault="006A6889">
            <w:pPr>
              <w:pStyle w:val="Footer"/>
              <w:tabs>
                <w:tab w:val="left" w:pos="720"/>
              </w:tabs>
              <w:spacing w:line="100" w:lineRule="atLeast"/>
              <w:jc w:val="right"/>
              <w:rPr>
                <w:sz w:val="21"/>
                <w:szCs w:val="21"/>
              </w:rPr>
            </w:pPr>
            <w:r>
              <w:rPr>
                <w:bCs/>
                <w:sz w:val="21"/>
                <w:szCs w:val="21"/>
              </w:rPr>
              <w:t>(More than 12 months)</w:t>
            </w:r>
          </w:p>
          <w:p w:rsidR="006A6889" w:rsidRDefault="006A6889">
            <w:pPr>
              <w:pStyle w:val="Footer"/>
              <w:tabs>
                <w:tab w:val="left" w:pos="720"/>
              </w:tabs>
              <w:spacing w:line="100" w:lineRule="atLeast"/>
              <w:jc w:val="right"/>
              <w:rPr>
                <w:sz w:val="21"/>
                <w:szCs w:val="21"/>
              </w:rPr>
            </w:pPr>
          </w:p>
          <w:p w:rsidR="006A6889" w:rsidRDefault="006A6889">
            <w:pPr>
              <w:pStyle w:val="Footer"/>
              <w:tabs>
                <w:tab w:val="left" w:pos="720"/>
              </w:tabs>
              <w:spacing w:line="100" w:lineRule="atLeast"/>
              <w:ind w:left="221"/>
              <w:jc w:val="right"/>
              <w:rPr>
                <w:sz w:val="21"/>
                <w:szCs w:val="21"/>
              </w:rPr>
            </w:pPr>
            <w:r>
              <w:rPr>
                <w:sz w:val="21"/>
                <w:szCs w:val="21"/>
              </w:rPr>
              <w:t>RM’000</w:t>
            </w:r>
          </w:p>
          <w:p w:rsidR="006A6889" w:rsidRDefault="006A6889">
            <w:pPr>
              <w:pStyle w:val="Footer"/>
              <w:tabs>
                <w:tab w:val="left" w:pos="720"/>
              </w:tabs>
              <w:spacing w:line="100" w:lineRule="atLeast"/>
              <w:jc w:val="right"/>
              <w:rPr>
                <w:sz w:val="21"/>
                <w:szCs w:val="21"/>
              </w:rPr>
            </w:pPr>
          </w:p>
          <w:p w:rsidR="006A6889" w:rsidRDefault="00267ED6" w:rsidP="00267ED6">
            <w:pPr>
              <w:pStyle w:val="Footer"/>
              <w:tabs>
                <w:tab w:val="left" w:pos="720"/>
              </w:tabs>
              <w:spacing w:line="100" w:lineRule="atLeast"/>
              <w:ind w:right="200"/>
              <w:jc w:val="right"/>
              <w:rPr>
                <w:sz w:val="21"/>
                <w:szCs w:val="21"/>
              </w:rPr>
            </w:pPr>
            <w:r>
              <w:rPr>
                <w:sz w:val="21"/>
                <w:szCs w:val="21"/>
              </w:rPr>
              <w:t>-</w:t>
            </w:r>
          </w:p>
        </w:tc>
        <w:tc>
          <w:tcPr>
            <w:tcW w:w="1542" w:type="dxa"/>
            <w:vAlign w:val="bottom"/>
          </w:tcPr>
          <w:p w:rsidR="006A6889" w:rsidRDefault="006A6889">
            <w:pPr>
              <w:snapToGrid w:val="0"/>
              <w:spacing w:line="100" w:lineRule="atLeast"/>
              <w:jc w:val="right"/>
              <w:rPr>
                <w:sz w:val="21"/>
                <w:szCs w:val="21"/>
              </w:rPr>
            </w:pPr>
          </w:p>
          <w:p w:rsidR="006A6889" w:rsidRDefault="006A6889">
            <w:pPr>
              <w:spacing w:line="100" w:lineRule="atLeast"/>
              <w:jc w:val="right"/>
              <w:rPr>
                <w:sz w:val="21"/>
                <w:szCs w:val="21"/>
              </w:rPr>
            </w:pPr>
          </w:p>
          <w:p w:rsidR="006A6889" w:rsidRDefault="006A6889">
            <w:pPr>
              <w:spacing w:line="100" w:lineRule="atLeast"/>
              <w:jc w:val="right"/>
              <w:rPr>
                <w:sz w:val="21"/>
                <w:szCs w:val="21"/>
              </w:rPr>
            </w:pPr>
          </w:p>
          <w:p w:rsidR="006A6889" w:rsidRDefault="006A6889">
            <w:pPr>
              <w:pStyle w:val="Footer"/>
              <w:tabs>
                <w:tab w:val="left" w:pos="720"/>
              </w:tabs>
              <w:spacing w:line="100" w:lineRule="atLeast"/>
              <w:jc w:val="right"/>
              <w:rPr>
                <w:sz w:val="21"/>
                <w:szCs w:val="21"/>
              </w:rPr>
            </w:pPr>
            <w:r>
              <w:rPr>
                <w:bCs/>
                <w:sz w:val="21"/>
                <w:szCs w:val="21"/>
              </w:rPr>
              <w:t>Total</w:t>
            </w:r>
          </w:p>
          <w:p w:rsidR="006A6889" w:rsidRDefault="006A6889">
            <w:pPr>
              <w:spacing w:line="100" w:lineRule="atLeast"/>
              <w:jc w:val="right"/>
              <w:rPr>
                <w:sz w:val="21"/>
                <w:szCs w:val="21"/>
              </w:rPr>
            </w:pPr>
          </w:p>
          <w:p w:rsidR="006A6889" w:rsidRDefault="006A6889">
            <w:pPr>
              <w:pStyle w:val="Footer"/>
              <w:tabs>
                <w:tab w:val="left" w:pos="720"/>
              </w:tabs>
              <w:spacing w:line="100" w:lineRule="atLeast"/>
              <w:jc w:val="right"/>
              <w:rPr>
                <w:sz w:val="21"/>
                <w:szCs w:val="21"/>
              </w:rPr>
            </w:pPr>
          </w:p>
          <w:p w:rsidR="006A6889" w:rsidRDefault="006A6889">
            <w:pPr>
              <w:pStyle w:val="Footer"/>
              <w:tabs>
                <w:tab w:val="left" w:pos="720"/>
              </w:tabs>
              <w:spacing w:line="100" w:lineRule="atLeast"/>
              <w:jc w:val="right"/>
              <w:rPr>
                <w:sz w:val="21"/>
                <w:szCs w:val="21"/>
              </w:rPr>
            </w:pPr>
            <w:r>
              <w:rPr>
                <w:sz w:val="21"/>
                <w:szCs w:val="21"/>
              </w:rPr>
              <w:t>RM’000</w:t>
            </w:r>
          </w:p>
          <w:p w:rsidR="006A6889" w:rsidRDefault="006A6889">
            <w:pPr>
              <w:pStyle w:val="StyleRight"/>
              <w:spacing w:line="100" w:lineRule="atLeast"/>
              <w:rPr>
                <w:sz w:val="21"/>
                <w:szCs w:val="21"/>
              </w:rPr>
            </w:pPr>
          </w:p>
          <w:p w:rsidR="006A6889" w:rsidRDefault="006A6889">
            <w:pPr>
              <w:pStyle w:val="Footer"/>
              <w:tabs>
                <w:tab w:val="center" w:pos="612"/>
                <w:tab w:val="right" w:pos="1224"/>
              </w:tabs>
              <w:spacing w:line="100" w:lineRule="atLeast"/>
              <w:jc w:val="right"/>
            </w:pPr>
            <w:r>
              <w:rPr>
                <w:sz w:val="21"/>
                <w:szCs w:val="21"/>
              </w:rPr>
              <w:tab/>
            </w:r>
            <w:r>
              <w:rPr>
                <w:sz w:val="21"/>
                <w:szCs w:val="21"/>
              </w:rPr>
              <w:tab/>
            </w:r>
            <w:r w:rsidR="008E307E">
              <w:rPr>
                <w:sz w:val="21"/>
                <w:szCs w:val="21"/>
              </w:rPr>
              <w:t>14.031</w:t>
            </w:r>
          </w:p>
        </w:tc>
      </w:tr>
      <w:tr w:rsidR="006A6889" w:rsidTr="006A6889">
        <w:trPr>
          <w:trHeight w:val="387"/>
        </w:trPr>
        <w:tc>
          <w:tcPr>
            <w:tcW w:w="2093" w:type="dxa"/>
            <w:hideMark/>
          </w:tcPr>
          <w:p w:rsidR="006A6889" w:rsidRDefault="006A6889">
            <w:pPr>
              <w:pStyle w:val="Footer"/>
              <w:tabs>
                <w:tab w:val="left" w:pos="720"/>
              </w:tabs>
              <w:spacing w:line="100" w:lineRule="atLeast"/>
              <w:rPr>
                <w:sz w:val="21"/>
                <w:szCs w:val="21"/>
              </w:rPr>
            </w:pPr>
            <w:r>
              <w:rPr>
                <w:sz w:val="21"/>
                <w:szCs w:val="21"/>
              </w:rPr>
              <w:t xml:space="preserve"> Trade Bills Payable</w:t>
            </w:r>
          </w:p>
        </w:tc>
        <w:tc>
          <w:tcPr>
            <w:tcW w:w="2874" w:type="dxa"/>
            <w:hideMark/>
          </w:tcPr>
          <w:p w:rsidR="006A6889" w:rsidRDefault="008E307E">
            <w:pPr>
              <w:pStyle w:val="StyleRight"/>
              <w:spacing w:line="100" w:lineRule="atLeast"/>
              <w:rPr>
                <w:sz w:val="21"/>
                <w:szCs w:val="21"/>
              </w:rPr>
            </w:pPr>
            <w:r>
              <w:rPr>
                <w:sz w:val="21"/>
                <w:szCs w:val="21"/>
              </w:rPr>
              <w:t>9.464</w:t>
            </w:r>
          </w:p>
        </w:tc>
        <w:tc>
          <w:tcPr>
            <w:tcW w:w="1682" w:type="dxa"/>
            <w:hideMark/>
          </w:tcPr>
          <w:p w:rsidR="006A6889" w:rsidRDefault="00267ED6" w:rsidP="00267ED6">
            <w:pPr>
              <w:spacing w:line="100" w:lineRule="atLeast"/>
              <w:ind w:right="174"/>
              <w:jc w:val="right"/>
              <w:rPr>
                <w:sz w:val="21"/>
                <w:szCs w:val="21"/>
              </w:rPr>
            </w:pPr>
            <w:r>
              <w:rPr>
                <w:sz w:val="21"/>
                <w:szCs w:val="21"/>
              </w:rPr>
              <w:t>-</w:t>
            </w:r>
          </w:p>
        </w:tc>
        <w:tc>
          <w:tcPr>
            <w:tcW w:w="1542" w:type="dxa"/>
            <w:hideMark/>
          </w:tcPr>
          <w:p w:rsidR="006A6889" w:rsidRDefault="008E307E">
            <w:pPr>
              <w:pStyle w:val="StyleRight"/>
              <w:spacing w:line="100" w:lineRule="atLeast"/>
            </w:pPr>
            <w:r>
              <w:rPr>
                <w:sz w:val="21"/>
                <w:szCs w:val="21"/>
              </w:rPr>
              <w:t>9.464</w:t>
            </w:r>
          </w:p>
        </w:tc>
      </w:tr>
      <w:tr w:rsidR="006A6889" w:rsidTr="006A6889">
        <w:trPr>
          <w:trHeight w:val="302"/>
        </w:trPr>
        <w:tc>
          <w:tcPr>
            <w:tcW w:w="2093" w:type="dxa"/>
            <w:hideMark/>
          </w:tcPr>
          <w:p w:rsidR="006A6889" w:rsidRDefault="006A6889">
            <w:pPr>
              <w:spacing w:line="100" w:lineRule="atLeast"/>
              <w:rPr>
                <w:sz w:val="21"/>
                <w:szCs w:val="21"/>
              </w:rPr>
            </w:pPr>
            <w:r>
              <w:rPr>
                <w:sz w:val="21"/>
                <w:szCs w:val="21"/>
              </w:rPr>
              <w:t xml:space="preserve"> Term Loan</w:t>
            </w:r>
          </w:p>
        </w:tc>
        <w:tc>
          <w:tcPr>
            <w:tcW w:w="2874" w:type="dxa"/>
            <w:hideMark/>
          </w:tcPr>
          <w:p w:rsidR="006A6889" w:rsidRDefault="006A6889">
            <w:pPr>
              <w:spacing w:line="100" w:lineRule="atLeast"/>
              <w:ind w:left="1189" w:hanging="1189"/>
              <w:jc w:val="right"/>
              <w:rPr>
                <w:sz w:val="21"/>
                <w:szCs w:val="21"/>
              </w:rPr>
            </w:pPr>
            <w:r>
              <w:rPr>
                <w:sz w:val="21"/>
                <w:szCs w:val="21"/>
              </w:rPr>
              <w:t xml:space="preserve">             </w:t>
            </w:r>
            <w:r w:rsidR="008E307E">
              <w:rPr>
                <w:sz w:val="21"/>
                <w:szCs w:val="21"/>
              </w:rPr>
              <w:t>1,314</w:t>
            </w:r>
            <w:r>
              <w:rPr>
                <w:sz w:val="21"/>
                <w:szCs w:val="21"/>
              </w:rPr>
              <w:t xml:space="preserve">                                                                    </w:t>
            </w:r>
          </w:p>
        </w:tc>
        <w:tc>
          <w:tcPr>
            <w:tcW w:w="1682" w:type="dxa"/>
            <w:hideMark/>
          </w:tcPr>
          <w:p w:rsidR="006A6889" w:rsidRDefault="008D1CD9">
            <w:pPr>
              <w:pStyle w:val="StyleRight"/>
              <w:spacing w:line="100" w:lineRule="atLeast"/>
              <w:rPr>
                <w:sz w:val="21"/>
                <w:szCs w:val="21"/>
              </w:rPr>
            </w:pPr>
            <w:r>
              <w:rPr>
                <w:sz w:val="21"/>
                <w:szCs w:val="21"/>
              </w:rPr>
              <w:t>4,504</w:t>
            </w:r>
          </w:p>
        </w:tc>
        <w:tc>
          <w:tcPr>
            <w:tcW w:w="1542" w:type="dxa"/>
            <w:hideMark/>
          </w:tcPr>
          <w:p w:rsidR="006A6889" w:rsidRDefault="008E307E">
            <w:pPr>
              <w:pStyle w:val="StyleRight"/>
              <w:spacing w:line="100" w:lineRule="atLeast"/>
            </w:pPr>
            <w:r>
              <w:rPr>
                <w:sz w:val="21"/>
                <w:szCs w:val="21"/>
              </w:rPr>
              <w:t>5,818</w:t>
            </w:r>
          </w:p>
        </w:tc>
      </w:tr>
      <w:tr w:rsidR="006A6889" w:rsidTr="006A6889">
        <w:trPr>
          <w:trHeight w:val="569"/>
        </w:trPr>
        <w:tc>
          <w:tcPr>
            <w:tcW w:w="2093" w:type="dxa"/>
            <w:hideMark/>
          </w:tcPr>
          <w:p w:rsidR="006A6889" w:rsidRDefault="006A6889">
            <w:pPr>
              <w:pStyle w:val="Footer"/>
              <w:tabs>
                <w:tab w:val="left" w:pos="720"/>
              </w:tabs>
              <w:spacing w:line="100" w:lineRule="atLeast"/>
              <w:rPr>
                <w:sz w:val="21"/>
                <w:szCs w:val="21"/>
                <w:u w:val="single"/>
              </w:rPr>
            </w:pPr>
            <w:r>
              <w:rPr>
                <w:sz w:val="21"/>
                <w:szCs w:val="21"/>
              </w:rPr>
              <w:t xml:space="preserve">  Hire Purchase</w:t>
            </w:r>
          </w:p>
        </w:tc>
        <w:tc>
          <w:tcPr>
            <w:tcW w:w="2874" w:type="dxa"/>
            <w:hideMark/>
          </w:tcPr>
          <w:p w:rsidR="006A6889" w:rsidRDefault="006A6889">
            <w:pPr>
              <w:spacing w:line="100" w:lineRule="atLeast"/>
              <w:jc w:val="right"/>
              <w:rPr>
                <w:b/>
                <w:bCs/>
                <w:sz w:val="21"/>
                <w:szCs w:val="21"/>
                <w:u w:val="single"/>
              </w:rPr>
            </w:pPr>
            <w:r>
              <w:rPr>
                <w:sz w:val="21"/>
                <w:szCs w:val="21"/>
                <w:u w:val="single"/>
              </w:rPr>
              <w:t xml:space="preserve">      </w:t>
            </w:r>
            <w:r w:rsidR="008D1CD9">
              <w:rPr>
                <w:sz w:val="21"/>
                <w:szCs w:val="21"/>
                <w:u w:val="single"/>
              </w:rPr>
              <w:t>39</w:t>
            </w:r>
          </w:p>
        </w:tc>
        <w:tc>
          <w:tcPr>
            <w:tcW w:w="1682" w:type="dxa"/>
            <w:hideMark/>
          </w:tcPr>
          <w:p w:rsidR="006A6889" w:rsidRPr="00FE7ACC" w:rsidRDefault="00FE7ACC" w:rsidP="00FE7ACC">
            <w:pPr>
              <w:pStyle w:val="ListParagraph"/>
              <w:spacing w:line="100" w:lineRule="atLeast"/>
              <w:ind w:left="420"/>
              <w:jc w:val="right"/>
              <w:rPr>
                <w:sz w:val="21"/>
                <w:szCs w:val="21"/>
              </w:rPr>
            </w:pPr>
            <w:r>
              <w:rPr>
                <w:sz w:val="21"/>
                <w:szCs w:val="21"/>
              </w:rPr>
              <w:t>______</w:t>
            </w:r>
          </w:p>
        </w:tc>
        <w:tc>
          <w:tcPr>
            <w:tcW w:w="1542" w:type="dxa"/>
          </w:tcPr>
          <w:p w:rsidR="006A6889" w:rsidRDefault="006A6889">
            <w:pPr>
              <w:spacing w:line="100" w:lineRule="atLeast"/>
              <w:rPr>
                <w:sz w:val="21"/>
                <w:szCs w:val="21"/>
                <w:u w:val="single"/>
              </w:rPr>
            </w:pPr>
            <w:r>
              <w:rPr>
                <w:sz w:val="21"/>
                <w:szCs w:val="21"/>
              </w:rPr>
              <w:t xml:space="preserve">           </w:t>
            </w:r>
            <w:r>
              <w:rPr>
                <w:sz w:val="21"/>
                <w:szCs w:val="21"/>
                <w:u w:val="single"/>
              </w:rPr>
              <w:t xml:space="preserve">          </w:t>
            </w:r>
            <w:r w:rsidR="00ED5E03">
              <w:rPr>
                <w:sz w:val="21"/>
                <w:szCs w:val="21"/>
                <w:u w:val="single"/>
              </w:rPr>
              <w:t>39</w:t>
            </w:r>
          </w:p>
          <w:p w:rsidR="006A6889" w:rsidRDefault="006A6889">
            <w:pPr>
              <w:spacing w:line="100" w:lineRule="atLeast"/>
              <w:rPr>
                <w:sz w:val="21"/>
                <w:szCs w:val="21"/>
                <w:u w:val="single"/>
              </w:rPr>
            </w:pPr>
          </w:p>
        </w:tc>
      </w:tr>
      <w:tr w:rsidR="006A6889" w:rsidTr="006A6889">
        <w:tc>
          <w:tcPr>
            <w:tcW w:w="2093" w:type="dxa"/>
          </w:tcPr>
          <w:p w:rsidR="006A6889" w:rsidRDefault="006A6889">
            <w:pPr>
              <w:snapToGrid w:val="0"/>
              <w:spacing w:line="100" w:lineRule="atLeast"/>
              <w:ind w:firstLine="720"/>
              <w:rPr>
                <w:sz w:val="21"/>
                <w:szCs w:val="21"/>
              </w:rPr>
            </w:pPr>
          </w:p>
        </w:tc>
        <w:tc>
          <w:tcPr>
            <w:tcW w:w="2874" w:type="dxa"/>
            <w:hideMark/>
          </w:tcPr>
          <w:p w:rsidR="006A6889" w:rsidRDefault="002516E0">
            <w:pPr>
              <w:spacing w:line="100" w:lineRule="atLeast"/>
              <w:jc w:val="right"/>
              <w:rPr>
                <w:sz w:val="21"/>
                <w:szCs w:val="21"/>
                <w:u w:val="single"/>
              </w:rPr>
            </w:pPr>
            <w:r>
              <w:rPr>
                <w:sz w:val="21"/>
                <w:szCs w:val="21"/>
                <w:u w:val="single"/>
              </w:rPr>
              <w:t xml:space="preserve"> 24,848</w:t>
            </w:r>
          </w:p>
        </w:tc>
        <w:tc>
          <w:tcPr>
            <w:tcW w:w="1682" w:type="dxa"/>
            <w:hideMark/>
          </w:tcPr>
          <w:p w:rsidR="006A6889" w:rsidRDefault="008D1CD9">
            <w:pPr>
              <w:spacing w:line="100" w:lineRule="atLeast"/>
              <w:jc w:val="right"/>
              <w:rPr>
                <w:sz w:val="21"/>
                <w:szCs w:val="21"/>
                <w:u w:val="single"/>
              </w:rPr>
            </w:pPr>
            <w:r>
              <w:rPr>
                <w:sz w:val="21"/>
                <w:szCs w:val="21"/>
                <w:u w:val="single"/>
              </w:rPr>
              <w:t xml:space="preserve"> 4,504</w:t>
            </w:r>
          </w:p>
        </w:tc>
        <w:tc>
          <w:tcPr>
            <w:tcW w:w="1542" w:type="dxa"/>
          </w:tcPr>
          <w:p w:rsidR="006A6889" w:rsidRDefault="002516E0">
            <w:pPr>
              <w:spacing w:line="100" w:lineRule="atLeast"/>
              <w:jc w:val="right"/>
              <w:rPr>
                <w:sz w:val="21"/>
                <w:szCs w:val="21"/>
                <w:u w:val="single"/>
              </w:rPr>
            </w:pPr>
            <w:r>
              <w:rPr>
                <w:sz w:val="21"/>
                <w:szCs w:val="21"/>
                <w:u w:val="single"/>
              </w:rPr>
              <w:t xml:space="preserve">  29,352</w:t>
            </w:r>
          </w:p>
          <w:p w:rsidR="006A6889" w:rsidRDefault="006A6889">
            <w:pPr>
              <w:spacing w:line="100" w:lineRule="atLeast"/>
              <w:jc w:val="right"/>
              <w:rPr>
                <w:sz w:val="21"/>
                <w:szCs w:val="21"/>
                <w:u w:val="single"/>
              </w:rPr>
            </w:pPr>
          </w:p>
          <w:p w:rsidR="006A6889" w:rsidRDefault="006A6889">
            <w:pPr>
              <w:spacing w:line="100" w:lineRule="atLeast"/>
              <w:jc w:val="right"/>
              <w:rPr>
                <w:sz w:val="21"/>
                <w:szCs w:val="21"/>
                <w:u w:val="single"/>
              </w:rPr>
            </w:pPr>
          </w:p>
        </w:tc>
      </w:tr>
    </w:tbl>
    <w:p w:rsidR="006A6889" w:rsidRDefault="006A6889" w:rsidP="006A6889">
      <w:pPr>
        <w:spacing w:line="100" w:lineRule="atLeast"/>
        <w:ind w:left="720"/>
        <w:jc w:val="both"/>
        <w:rPr>
          <w:bCs/>
          <w:sz w:val="21"/>
          <w:szCs w:val="21"/>
        </w:rPr>
      </w:pPr>
      <w:r>
        <w:rPr>
          <w:bCs/>
          <w:sz w:val="22"/>
        </w:rPr>
        <w:t xml:space="preserve">Subsequent to the successful </w:t>
      </w:r>
      <w:r>
        <w:rPr>
          <w:bCs/>
          <w:sz w:val="22"/>
          <w:lang w:val="en-MY"/>
        </w:rPr>
        <w:t xml:space="preserve">completion </w:t>
      </w:r>
      <w:r>
        <w:rPr>
          <w:bCs/>
          <w:sz w:val="22"/>
        </w:rPr>
        <w:t>of the Rights Issue exercise, the Company settled the long outstanding Islamic Term Loan of RM8.2 million with Maybank Islamic Berhad on 23 July 2015 from the proceed</w:t>
      </w:r>
      <w:r w:rsidR="007828F1">
        <w:rPr>
          <w:bCs/>
          <w:sz w:val="22"/>
        </w:rPr>
        <w:t>s</w:t>
      </w:r>
      <w:r>
        <w:rPr>
          <w:bCs/>
          <w:sz w:val="22"/>
        </w:rPr>
        <w:t xml:space="preserve"> of the Rights Issue. The Company has resumed the repayment of the </w:t>
      </w:r>
      <w:r w:rsidR="00ED5E03">
        <w:rPr>
          <w:bCs/>
          <w:sz w:val="22"/>
          <w:lang w:val="en-MY"/>
        </w:rPr>
        <w:t>instalments</w:t>
      </w:r>
      <w:r>
        <w:rPr>
          <w:bCs/>
          <w:sz w:val="22"/>
        </w:rPr>
        <w:t xml:space="preserve"> for the Term Loan of RM4.0 million with Malayan Banking Berhad which </w:t>
      </w:r>
      <w:r>
        <w:rPr>
          <w:bCs/>
          <w:sz w:val="22"/>
          <w:lang w:val="en-MY"/>
        </w:rPr>
        <w:t>had</w:t>
      </w:r>
      <w:r>
        <w:rPr>
          <w:bCs/>
          <w:sz w:val="22"/>
        </w:rPr>
        <w:t xml:space="preserve"> remained outstanding by one of the fully owned subsidiary </w:t>
      </w:r>
      <w:r w:rsidR="00391CDE">
        <w:rPr>
          <w:bCs/>
          <w:sz w:val="22"/>
        </w:rPr>
        <w:t>company</w:t>
      </w:r>
      <w:r>
        <w:rPr>
          <w:bCs/>
          <w:sz w:val="22"/>
        </w:rPr>
        <w:t xml:space="preserve">. </w:t>
      </w:r>
      <w:r>
        <w:rPr>
          <w:bCs/>
          <w:sz w:val="21"/>
          <w:szCs w:val="21"/>
        </w:rPr>
        <w:t xml:space="preserve">Please refer to the Bursa </w:t>
      </w:r>
      <w:r w:rsidR="00391CDE">
        <w:rPr>
          <w:bCs/>
          <w:sz w:val="21"/>
          <w:szCs w:val="21"/>
        </w:rPr>
        <w:t>announcement</w:t>
      </w:r>
      <w:r>
        <w:rPr>
          <w:bCs/>
          <w:sz w:val="21"/>
          <w:szCs w:val="21"/>
        </w:rPr>
        <w:t xml:space="preserve"> </w:t>
      </w:r>
      <w:r>
        <w:rPr>
          <w:bCs/>
          <w:sz w:val="21"/>
          <w:szCs w:val="21"/>
          <w:lang w:val="en-MY"/>
        </w:rPr>
        <w:t>on</w:t>
      </w:r>
      <w:r>
        <w:rPr>
          <w:bCs/>
          <w:sz w:val="21"/>
          <w:szCs w:val="21"/>
        </w:rPr>
        <w:t xml:space="preserve"> the above dated 27 July 2015.</w:t>
      </w:r>
    </w:p>
    <w:p w:rsidR="006A6889" w:rsidRDefault="006A6889" w:rsidP="006A6889">
      <w:pPr>
        <w:spacing w:line="100" w:lineRule="atLeast"/>
        <w:jc w:val="both"/>
        <w:rPr>
          <w:bCs/>
          <w:sz w:val="21"/>
          <w:szCs w:val="21"/>
        </w:rPr>
      </w:pPr>
    </w:p>
    <w:p w:rsidR="006A6889" w:rsidRDefault="006A6889" w:rsidP="006A6889">
      <w:pPr>
        <w:spacing w:line="100" w:lineRule="atLeast"/>
        <w:jc w:val="both"/>
        <w:rPr>
          <w:b/>
          <w:bCs/>
          <w:sz w:val="22"/>
        </w:rPr>
      </w:pPr>
    </w:p>
    <w:p w:rsidR="006A6889" w:rsidRDefault="006A6889" w:rsidP="006A6889">
      <w:pPr>
        <w:spacing w:line="100" w:lineRule="atLeast"/>
        <w:jc w:val="both"/>
        <w:rPr>
          <w:b/>
          <w:bCs/>
          <w:sz w:val="22"/>
        </w:rPr>
      </w:pPr>
      <w:r>
        <w:rPr>
          <w:b/>
          <w:bCs/>
          <w:sz w:val="22"/>
        </w:rPr>
        <w:t>B10.</w:t>
      </w:r>
      <w:r>
        <w:rPr>
          <w:b/>
          <w:bCs/>
        </w:rPr>
        <w:tab/>
      </w:r>
      <w:r>
        <w:rPr>
          <w:b/>
          <w:bCs/>
          <w:sz w:val="22"/>
        </w:rPr>
        <w:t>Off Balance Sheet Financial Instruments</w:t>
      </w:r>
    </w:p>
    <w:p w:rsidR="006A6889" w:rsidRDefault="006A6889" w:rsidP="006A6889">
      <w:pPr>
        <w:spacing w:line="100" w:lineRule="atLeast"/>
        <w:jc w:val="both"/>
        <w:rPr>
          <w:b/>
          <w:bCs/>
          <w:sz w:val="22"/>
        </w:rPr>
      </w:pPr>
    </w:p>
    <w:p w:rsidR="006A6889" w:rsidRDefault="006A6889" w:rsidP="006A6889">
      <w:pPr>
        <w:pStyle w:val="BodyTextIndent3"/>
        <w:spacing w:line="100" w:lineRule="atLeast"/>
        <w:ind w:firstLine="0"/>
      </w:pPr>
      <w:r>
        <w:t>There were no financial instruments with off balance sheet risk as at the latest practicable date, which is not earlier than 7 days from date of issuance of this quarterly report.</w:t>
      </w:r>
    </w:p>
    <w:p w:rsidR="006A6889" w:rsidRDefault="006A6889" w:rsidP="006A6889">
      <w:pPr>
        <w:spacing w:line="100" w:lineRule="atLeast"/>
        <w:rPr>
          <w:sz w:val="22"/>
        </w:rPr>
      </w:pPr>
    </w:p>
    <w:p w:rsidR="006A6889" w:rsidRDefault="006A6889" w:rsidP="006A6889">
      <w:pPr>
        <w:pStyle w:val="BodyTextIndent2"/>
        <w:spacing w:line="100" w:lineRule="atLeast"/>
        <w:ind w:hanging="720"/>
      </w:pPr>
    </w:p>
    <w:p w:rsidR="006A6889" w:rsidRDefault="006A6889" w:rsidP="006A6889">
      <w:pPr>
        <w:pStyle w:val="BodyTextIndent2"/>
        <w:spacing w:line="100" w:lineRule="atLeast"/>
        <w:ind w:hanging="720"/>
        <w:rPr>
          <w:b/>
        </w:rPr>
      </w:pPr>
      <w:r>
        <w:rPr>
          <w:b/>
        </w:rPr>
        <w:t>B11.</w:t>
      </w:r>
      <w:r>
        <w:rPr>
          <w:b/>
        </w:rPr>
        <w:tab/>
        <w:t>Changes in Material Litigation</w:t>
      </w:r>
    </w:p>
    <w:p w:rsidR="006A6889" w:rsidRDefault="006A6889" w:rsidP="006A6889">
      <w:pPr>
        <w:pStyle w:val="BodyTextIndent2"/>
        <w:tabs>
          <w:tab w:val="left" w:pos="720"/>
        </w:tabs>
        <w:spacing w:line="100" w:lineRule="atLeast"/>
        <w:rPr>
          <w:b/>
        </w:rPr>
      </w:pPr>
    </w:p>
    <w:p w:rsidR="00F46FDA" w:rsidRDefault="006A6889" w:rsidP="00F46FDA">
      <w:pPr>
        <w:pStyle w:val="BodyTextIndent2"/>
        <w:spacing w:line="100" w:lineRule="atLeast"/>
      </w:pPr>
      <w:r>
        <w:rPr>
          <w:lang w:val="en-MY"/>
        </w:rPr>
        <w:t>O</w:t>
      </w:r>
      <w:r>
        <w:t xml:space="preserve">n </w:t>
      </w:r>
      <w:r>
        <w:rPr>
          <w:lang w:val="en-MY"/>
        </w:rPr>
        <w:t>11</w:t>
      </w:r>
      <w:r>
        <w:t xml:space="preserve"> March 2015, </w:t>
      </w:r>
      <w:r>
        <w:rPr>
          <w:lang w:val="en-MY"/>
        </w:rPr>
        <w:t>t</w:t>
      </w:r>
      <w:r>
        <w:t xml:space="preserve">he </w:t>
      </w:r>
      <w:r w:rsidR="00391CDE">
        <w:t>company</w:t>
      </w:r>
      <w:r>
        <w:t xml:space="preserve"> filed a </w:t>
      </w:r>
      <w:r>
        <w:rPr>
          <w:lang w:val="en-MY"/>
        </w:rPr>
        <w:t>W</w:t>
      </w:r>
      <w:proofErr w:type="spellStart"/>
      <w:r>
        <w:t>rit</w:t>
      </w:r>
      <w:proofErr w:type="spellEnd"/>
      <w:r>
        <w:t xml:space="preserve"> of </w:t>
      </w:r>
      <w:r>
        <w:rPr>
          <w:lang w:val="en-MY"/>
        </w:rPr>
        <w:t>S</w:t>
      </w:r>
      <w:proofErr w:type="spellStart"/>
      <w:r>
        <w:t>ummons</w:t>
      </w:r>
      <w:proofErr w:type="spellEnd"/>
      <w:r>
        <w:t xml:space="preserve"> </w:t>
      </w:r>
      <w:r>
        <w:rPr>
          <w:lang w:val="en-MY"/>
        </w:rPr>
        <w:t>against</w:t>
      </w:r>
      <w:r w:rsidR="007828F1">
        <w:t xml:space="preserve"> </w:t>
      </w:r>
      <w:proofErr w:type="spellStart"/>
      <w:r w:rsidR="007828F1">
        <w:t>Dato</w:t>
      </w:r>
      <w:proofErr w:type="spellEnd"/>
      <w:r w:rsidR="007828F1">
        <w:t>’</w:t>
      </w:r>
      <w:r w:rsidR="00527CF0">
        <w:t xml:space="preserve"> </w:t>
      </w:r>
      <w:r>
        <w:t xml:space="preserve">Tan Wei </w:t>
      </w:r>
      <w:proofErr w:type="spellStart"/>
      <w:r>
        <w:t>Lian</w:t>
      </w:r>
      <w:proofErr w:type="spellEnd"/>
      <w:r>
        <w:t xml:space="preserve"> claiming damages for breach of </w:t>
      </w:r>
      <w:r>
        <w:rPr>
          <w:lang w:val="en-MY"/>
        </w:rPr>
        <w:t>irre</w:t>
      </w:r>
      <w:r w:rsidR="007828F1">
        <w:rPr>
          <w:lang w:val="en-MY"/>
        </w:rPr>
        <w:t>voca</w:t>
      </w:r>
      <w:r>
        <w:rPr>
          <w:lang w:val="en-MY"/>
        </w:rPr>
        <w:t xml:space="preserve">ble and unconditional </w:t>
      </w:r>
      <w:r>
        <w:t xml:space="preserve">undertaking in relation to the Rights Issue, </w:t>
      </w:r>
      <w:r>
        <w:rPr>
          <w:lang w:val="en-MY"/>
        </w:rPr>
        <w:t>and served the same on 27 March 2015</w:t>
      </w:r>
      <w:r>
        <w:t>. T</w:t>
      </w:r>
      <w:r>
        <w:rPr>
          <w:lang w:val="en-MY"/>
        </w:rPr>
        <w:t>he</w:t>
      </w:r>
      <w:r>
        <w:t xml:space="preserve"> </w:t>
      </w:r>
      <w:r w:rsidR="00391CDE">
        <w:t>statement</w:t>
      </w:r>
      <w:r>
        <w:t xml:space="preserve"> of </w:t>
      </w:r>
      <w:r>
        <w:rPr>
          <w:lang w:val="en-MY"/>
        </w:rPr>
        <w:t>Defence</w:t>
      </w:r>
      <w:r>
        <w:t xml:space="preserve"> o</w:t>
      </w:r>
      <w:r w:rsidR="007828F1">
        <w:rPr>
          <w:lang w:val="en-MY"/>
        </w:rPr>
        <w:t>f Dato’</w:t>
      </w:r>
      <w:r>
        <w:rPr>
          <w:lang w:val="en-MY"/>
        </w:rPr>
        <w:t>Tan</w:t>
      </w:r>
      <w:bookmarkStart w:id="0" w:name="_GoBack"/>
      <w:bookmarkEnd w:id="0"/>
      <w:r>
        <w:rPr>
          <w:lang w:val="en-MY"/>
        </w:rPr>
        <w:t xml:space="preserve"> Wei Lian was received on 22 April 2015. O</w:t>
      </w:r>
      <w:r>
        <w:t>n 30 April 2015, the Company</w:t>
      </w:r>
      <w:r>
        <w:rPr>
          <w:lang w:val="en-MY"/>
        </w:rPr>
        <w:t xml:space="preserve"> </w:t>
      </w:r>
      <w:r>
        <w:t xml:space="preserve">served </w:t>
      </w:r>
      <w:r>
        <w:rPr>
          <w:lang w:val="en-MY"/>
        </w:rPr>
        <w:t>its</w:t>
      </w:r>
      <w:r>
        <w:t xml:space="preserve"> </w:t>
      </w:r>
      <w:r w:rsidR="00391CDE">
        <w:t>reply</w:t>
      </w:r>
      <w:r>
        <w:t xml:space="preserve"> to </w:t>
      </w:r>
      <w:r w:rsidR="00391CDE">
        <w:t>statement</w:t>
      </w:r>
      <w:r>
        <w:t xml:space="preserve"> of </w:t>
      </w:r>
      <w:r w:rsidR="00391CDE">
        <w:rPr>
          <w:lang w:val="en-MY"/>
        </w:rPr>
        <w:t>Defence</w:t>
      </w:r>
      <w:r w:rsidR="003E30EB">
        <w:rPr>
          <w:lang w:val="en-MY"/>
        </w:rPr>
        <w:t>.</w:t>
      </w:r>
      <w:r>
        <w:t xml:space="preserve"> </w:t>
      </w:r>
    </w:p>
    <w:p w:rsidR="00F46FDA" w:rsidRDefault="00F46FDA" w:rsidP="006A6889">
      <w:pPr>
        <w:pStyle w:val="BodyTextIndent2"/>
        <w:spacing w:line="100" w:lineRule="atLeast"/>
      </w:pPr>
    </w:p>
    <w:p w:rsidR="006A6889" w:rsidRDefault="006A6889" w:rsidP="00F46FDA">
      <w:pPr>
        <w:pStyle w:val="BodyTextIndent2"/>
        <w:spacing w:line="100" w:lineRule="atLeast"/>
        <w:rPr>
          <w:b/>
        </w:rPr>
      </w:pPr>
      <w:r>
        <w:t xml:space="preserve">As </w:t>
      </w:r>
      <w:r>
        <w:rPr>
          <w:lang w:val="en-MY"/>
        </w:rPr>
        <w:t xml:space="preserve">the trial for </w:t>
      </w:r>
      <w:r>
        <w:t xml:space="preserve">this </w:t>
      </w:r>
      <w:r>
        <w:rPr>
          <w:lang w:val="en-MY"/>
        </w:rPr>
        <w:t>suit</w:t>
      </w:r>
      <w:r>
        <w:t xml:space="preserve"> will only be </w:t>
      </w:r>
      <w:r>
        <w:rPr>
          <w:lang w:val="en-MY"/>
        </w:rPr>
        <w:t>take place</w:t>
      </w:r>
      <w:r>
        <w:t xml:space="preserve"> in later months, </w:t>
      </w:r>
      <w:r>
        <w:rPr>
          <w:lang w:val="en-MY"/>
        </w:rPr>
        <w:t>t</w:t>
      </w:r>
      <w:r>
        <w:t xml:space="preserve">here was no material impact </w:t>
      </w:r>
      <w:r>
        <w:rPr>
          <w:lang w:val="en-MY"/>
        </w:rPr>
        <w:t xml:space="preserve">caused </w:t>
      </w:r>
      <w:r>
        <w:t>for thi</w:t>
      </w:r>
      <w:r w:rsidR="00843E12">
        <w:t xml:space="preserve">s financial period ended 30 September </w:t>
      </w:r>
      <w:r>
        <w:t>2015.</w:t>
      </w:r>
    </w:p>
    <w:p w:rsidR="006A6889" w:rsidRDefault="006A6889" w:rsidP="006A6889">
      <w:pPr>
        <w:spacing w:line="100" w:lineRule="atLeast"/>
        <w:jc w:val="both"/>
        <w:rPr>
          <w:b/>
          <w:sz w:val="22"/>
        </w:rPr>
      </w:pPr>
    </w:p>
    <w:p w:rsidR="00F46FDA" w:rsidRDefault="00F46FDA" w:rsidP="006A6889">
      <w:pPr>
        <w:spacing w:line="100" w:lineRule="atLeast"/>
        <w:jc w:val="both"/>
        <w:rPr>
          <w:b/>
          <w:sz w:val="22"/>
        </w:rPr>
      </w:pPr>
    </w:p>
    <w:p w:rsidR="00F46FDA" w:rsidRDefault="00F46FDA" w:rsidP="006A6889">
      <w:pPr>
        <w:spacing w:line="100" w:lineRule="atLeast"/>
        <w:jc w:val="both"/>
        <w:rPr>
          <w:b/>
          <w:sz w:val="22"/>
        </w:rPr>
      </w:pPr>
    </w:p>
    <w:p w:rsidR="006A6889" w:rsidRDefault="006A6889" w:rsidP="006A6889">
      <w:pPr>
        <w:spacing w:line="100" w:lineRule="atLeast"/>
        <w:ind w:left="720" w:hanging="720"/>
        <w:jc w:val="both"/>
        <w:rPr>
          <w:b/>
          <w:sz w:val="22"/>
        </w:rPr>
      </w:pPr>
      <w:r>
        <w:rPr>
          <w:b/>
          <w:sz w:val="22"/>
        </w:rPr>
        <w:t>B12.</w:t>
      </w:r>
      <w:r>
        <w:rPr>
          <w:b/>
          <w:sz w:val="22"/>
        </w:rPr>
        <w:tab/>
        <w:t>Dividend</w:t>
      </w:r>
    </w:p>
    <w:p w:rsidR="006A6889" w:rsidRDefault="006A6889" w:rsidP="006A6889">
      <w:pPr>
        <w:spacing w:line="100" w:lineRule="atLeast"/>
        <w:ind w:left="720" w:hanging="720"/>
        <w:jc w:val="both"/>
        <w:rPr>
          <w:b/>
          <w:sz w:val="22"/>
        </w:rPr>
      </w:pPr>
    </w:p>
    <w:p w:rsidR="006A6889" w:rsidRDefault="006A6889" w:rsidP="006A6889">
      <w:pPr>
        <w:pStyle w:val="Heading5"/>
        <w:numPr>
          <w:ilvl w:val="4"/>
          <w:numId w:val="1"/>
        </w:numPr>
        <w:spacing w:line="100" w:lineRule="atLeast"/>
        <w:ind w:left="720" w:hanging="720"/>
      </w:pPr>
      <w:r>
        <w:tab/>
      </w:r>
      <w:r>
        <w:rPr>
          <w:b w:val="0"/>
          <w:bCs w:val="0"/>
        </w:rPr>
        <w:t>No interim and final dividend was recommended by the Board of Director</w:t>
      </w:r>
      <w:r>
        <w:rPr>
          <w:b w:val="0"/>
          <w:bCs w:val="0"/>
          <w:lang w:val="en-MY"/>
        </w:rPr>
        <w:t>s</w:t>
      </w:r>
      <w:r>
        <w:rPr>
          <w:b w:val="0"/>
          <w:bCs w:val="0"/>
        </w:rPr>
        <w:t xml:space="preserve"> for th</w:t>
      </w:r>
      <w:r w:rsidR="00843E12">
        <w:rPr>
          <w:b w:val="0"/>
          <w:bCs w:val="0"/>
        </w:rPr>
        <w:t>e financial period ended 30 September</w:t>
      </w:r>
      <w:r>
        <w:rPr>
          <w:b w:val="0"/>
          <w:bCs w:val="0"/>
        </w:rPr>
        <w:t xml:space="preserve"> 2015.</w:t>
      </w:r>
    </w:p>
    <w:p w:rsidR="006A6889" w:rsidRDefault="006A6889" w:rsidP="006A6889">
      <w:pPr>
        <w:spacing w:line="100" w:lineRule="atLeast"/>
      </w:pPr>
    </w:p>
    <w:p w:rsidR="006A6889" w:rsidRDefault="006A6889" w:rsidP="006A6889">
      <w:pPr>
        <w:spacing w:line="100" w:lineRule="atLeast"/>
      </w:pPr>
    </w:p>
    <w:p w:rsidR="006A6889" w:rsidRDefault="006A6889" w:rsidP="006A6889">
      <w:pPr>
        <w:pStyle w:val="Heading5"/>
        <w:numPr>
          <w:ilvl w:val="4"/>
          <w:numId w:val="1"/>
        </w:numPr>
        <w:spacing w:line="100" w:lineRule="atLeast"/>
        <w:ind w:left="720" w:hanging="720"/>
      </w:pPr>
      <w:r>
        <w:t>B13.</w:t>
      </w:r>
      <w:r>
        <w:tab/>
        <w:t>Earnings per share</w:t>
      </w:r>
    </w:p>
    <w:p w:rsidR="006A6889" w:rsidRDefault="006A6889" w:rsidP="006A6889">
      <w:pPr>
        <w:spacing w:line="100" w:lineRule="atLeast"/>
      </w:pPr>
    </w:p>
    <w:p w:rsidR="006A6889" w:rsidRDefault="006A6889" w:rsidP="006A6889">
      <w:pPr>
        <w:spacing w:line="100" w:lineRule="atLeast"/>
        <w:ind w:left="720" w:hanging="720"/>
        <w:rPr>
          <w:bCs/>
          <w:sz w:val="21"/>
          <w:szCs w:val="21"/>
        </w:rPr>
      </w:pPr>
      <w:r>
        <w:tab/>
      </w:r>
      <w:r>
        <w:rPr>
          <w:sz w:val="22"/>
        </w:rPr>
        <w:t xml:space="preserve">The Basic Earnings per share and Diluted Earnings per share of the Group </w:t>
      </w:r>
      <w:r>
        <w:rPr>
          <w:sz w:val="22"/>
          <w:lang w:val="en-MY"/>
        </w:rPr>
        <w:t>remained</w:t>
      </w:r>
      <w:r>
        <w:rPr>
          <w:sz w:val="22"/>
        </w:rPr>
        <w:t xml:space="preserve"> the same for the reporting period as no effect </w:t>
      </w:r>
      <w:r>
        <w:rPr>
          <w:sz w:val="22"/>
          <w:lang w:val="en-MY"/>
        </w:rPr>
        <w:t>was caused by</w:t>
      </w:r>
      <w:r>
        <w:rPr>
          <w:sz w:val="22"/>
        </w:rPr>
        <w:t xml:space="preserve"> </w:t>
      </w:r>
      <w:r>
        <w:rPr>
          <w:sz w:val="22"/>
          <w:lang w:val="en-MY"/>
        </w:rPr>
        <w:t xml:space="preserve">the </w:t>
      </w:r>
      <w:r>
        <w:rPr>
          <w:sz w:val="22"/>
        </w:rPr>
        <w:t>dilutive potential ordinary shares.</w:t>
      </w:r>
    </w:p>
    <w:p w:rsidR="006A6889" w:rsidRDefault="006A6889" w:rsidP="006A6889">
      <w:pPr>
        <w:spacing w:line="100" w:lineRule="atLeast"/>
        <w:ind w:left="720"/>
        <w:jc w:val="both"/>
      </w:pPr>
      <w:r>
        <w:rPr>
          <w:bCs/>
          <w:sz w:val="21"/>
          <w:szCs w:val="21"/>
        </w:rPr>
        <w:tab/>
      </w:r>
    </w:p>
    <w:tbl>
      <w:tblPr>
        <w:tblW w:w="0" w:type="auto"/>
        <w:tblInd w:w="829" w:type="dxa"/>
        <w:tblLayout w:type="fixed"/>
        <w:tblLook w:val="04A0" w:firstRow="1" w:lastRow="0" w:firstColumn="1" w:lastColumn="0" w:noHBand="0" w:noVBand="1"/>
      </w:tblPr>
      <w:tblGrid>
        <w:gridCol w:w="5493"/>
        <w:gridCol w:w="1442"/>
        <w:gridCol w:w="1559"/>
      </w:tblGrid>
      <w:tr w:rsidR="006A6889" w:rsidTr="006A6889">
        <w:tc>
          <w:tcPr>
            <w:tcW w:w="5493" w:type="dxa"/>
          </w:tcPr>
          <w:p w:rsidR="006A6889" w:rsidRDefault="006A6889">
            <w:pPr>
              <w:snapToGrid w:val="0"/>
              <w:spacing w:line="100" w:lineRule="atLeast"/>
              <w:ind w:firstLine="720"/>
              <w:jc w:val="both"/>
            </w:pPr>
          </w:p>
        </w:tc>
        <w:tc>
          <w:tcPr>
            <w:tcW w:w="1442" w:type="dxa"/>
            <w:hideMark/>
          </w:tcPr>
          <w:p w:rsidR="006A6889" w:rsidRDefault="006A6889">
            <w:pPr>
              <w:spacing w:line="100" w:lineRule="atLeast"/>
              <w:jc w:val="center"/>
              <w:rPr>
                <w:bCs/>
                <w:sz w:val="21"/>
                <w:szCs w:val="21"/>
              </w:rPr>
            </w:pPr>
            <w:r>
              <w:rPr>
                <w:bCs/>
                <w:sz w:val="21"/>
                <w:szCs w:val="21"/>
              </w:rPr>
              <w:t>Current Quarter ended</w:t>
            </w:r>
          </w:p>
          <w:p w:rsidR="006A6889" w:rsidRDefault="006A6889">
            <w:pPr>
              <w:spacing w:line="100" w:lineRule="atLeast"/>
              <w:jc w:val="center"/>
              <w:rPr>
                <w:bCs/>
                <w:sz w:val="21"/>
                <w:szCs w:val="21"/>
              </w:rPr>
            </w:pPr>
            <w:r>
              <w:rPr>
                <w:bCs/>
                <w:sz w:val="21"/>
                <w:szCs w:val="21"/>
              </w:rPr>
              <w:t>30</w:t>
            </w:r>
            <w:r>
              <w:rPr>
                <w:bCs/>
                <w:sz w:val="21"/>
                <w:szCs w:val="21"/>
                <w:vertAlign w:val="superscript"/>
              </w:rPr>
              <w:t xml:space="preserve"> </w:t>
            </w:r>
            <w:r w:rsidR="00843E12">
              <w:rPr>
                <w:bCs/>
                <w:sz w:val="21"/>
                <w:szCs w:val="21"/>
              </w:rPr>
              <w:t>September</w:t>
            </w:r>
            <w:r>
              <w:rPr>
                <w:bCs/>
                <w:sz w:val="21"/>
                <w:szCs w:val="21"/>
              </w:rPr>
              <w:t xml:space="preserve"> 2015</w:t>
            </w:r>
          </w:p>
          <w:p w:rsidR="006A6889" w:rsidRDefault="006A6889">
            <w:pPr>
              <w:spacing w:line="100" w:lineRule="atLeast"/>
              <w:jc w:val="center"/>
              <w:rPr>
                <w:bCs/>
              </w:rPr>
            </w:pPr>
            <w:r>
              <w:rPr>
                <w:bCs/>
                <w:sz w:val="21"/>
                <w:szCs w:val="21"/>
              </w:rPr>
              <w:t xml:space="preserve">          </w:t>
            </w:r>
          </w:p>
        </w:tc>
        <w:tc>
          <w:tcPr>
            <w:tcW w:w="1559" w:type="dxa"/>
          </w:tcPr>
          <w:p w:rsidR="006A6889" w:rsidRDefault="00843E12">
            <w:pPr>
              <w:spacing w:line="100" w:lineRule="atLeast"/>
              <w:jc w:val="center"/>
              <w:rPr>
                <w:bCs/>
              </w:rPr>
            </w:pPr>
            <w:r>
              <w:rPr>
                <w:bCs/>
              </w:rPr>
              <w:t>Twelve</w:t>
            </w:r>
            <w:r w:rsidR="006A6889">
              <w:rPr>
                <w:bCs/>
              </w:rPr>
              <w:t xml:space="preserve"> (</w:t>
            </w:r>
            <w:r>
              <w:rPr>
                <w:bCs/>
              </w:rPr>
              <w:t>12</w:t>
            </w:r>
            <w:r w:rsidR="006A6889">
              <w:rPr>
                <w:bCs/>
              </w:rPr>
              <w:t>)</w:t>
            </w:r>
          </w:p>
          <w:p w:rsidR="006A6889" w:rsidRDefault="006A6889">
            <w:pPr>
              <w:spacing w:line="100" w:lineRule="atLeast"/>
              <w:jc w:val="center"/>
              <w:rPr>
                <w:bCs/>
              </w:rPr>
            </w:pPr>
            <w:r>
              <w:rPr>
                <w:bCs/>
              </w:rPr>
              <w:t xml:space="preserve"> months ended</w:t>
            </w:r>
          </w:p>
          <w:p w:rsidR="006A6889" w:rsidRDefault="00843E12">
            <w:pPr>
              <w:spacing w:line="100" w:lineRule="atLeast"/>
              <w:jc w:val="center"/>
            </w:pPr>
            <w:r>
              <w:rPr>
                <w:bCs/>
              </w:rPr>
              <w:t>30 September</w:t>
            </w:r>
            <w:r w:rsidR="006A6889">
              <w:rPr>
                <w:bCs/>
              </w:rPr>
              <w:t xml:space="preserve"> 2015</w:t>
            </w:r>
          </w:p>
          <w:p w:rsidR="006A6889" w:rsidRDefault="006A6889">
            <w:pPr>
              <w:spacing w:line="100" w:lineRule="atLeast"/>
              <w:jc w:val="center"/>
            </w:pPr>
          </w:p>
        </w:tc>
      </w:tr>
      <w:tr w:rsidR="006A6889" w:rsidTr="006A6889">
        <w:tc>
          <w:tcPr>
            <w:tcW w:w="5493" w:type="dxa"/>
          </w:tcPr>
          <w:p w:rsidR="006A6889" w:rsidRDefault="006A6889">
            <w:pPr>
              <w:snapToGrid w:val="0"/>
              <w:spacing w:line="100" w:lineRule="atLeast"/>
              <w:ind w:firstLine="720"/>
              <w:jc w:val="both"/>
              <w:rPr>
                <w:sz w:val="21"/>
                <w:szCs w:val="21"/>
              </w:rPr>
            </w:pPr>
          </w:p>
        </w:tc>
        <w:tc>
          <w:tcPr>
            <w:tcW w:w="1442" w:type="dxa"/>
          </w:tcPr>
          <w:p w:rsidR="006A6889" w:rsidRDefault="006A6889">
            <w:pPr>
              <w:snapToGrid w:val="0"/>
              <w:spacing w:line="100" w:lineRule="atLeast"/>
              <w:jc w:val="center"/>
              <w:rPr>
                <w:sz w:val="21"/>
                <w:szCs w:val="21"/>
              </w:rPr>
            </w:pPr>
          </w:p>
        </w:tc>
        <w:tc>
          <w:tcPr>
            <w:tcW w:w="1559" w:type="dxa"/>
          </w:tcPr>
          <w:p w:rsidR="006A6889" w:rsidRDefault="006A6889">
            <w:pPr>
              <w:snapToGrid w:val="0"/>
              <w:spacing w:line="100" w:lineRule="atLeast"/>
              <w:jc w:val="center"/>
              <w:rPr>
                <w:sz w:val="18"/>
              </w:rPr>
            </w:pPr>
          </w:p>
        </w:tc>
      </w:tr>
      <w:tr w:rsidR="006A6889" w:rsidTr="006A6889">
        <w:tc>
          <w:tcPr>
            <w:tcW w:w="5493" w:type="dxa"/>
          </w:tcPr>
          <w:p w:rsidR="006A6889" w:rsidRDefault="006A6889">
            <w:pPr>
              <w:spacing w:line="100" w:lineRule="atLeast"/>
              <w:jc w:val="both"/>
              <w:rPr>
                <w:sz w:val="21"/>
                <w:szCs w:val="21"/>
              </w:rPr>
            </w:pPr>
            <w:r>
              <w:rPr>
                <w:sz w:val="21"/>
                <w:szCs w:val="21"/>
              </w:rPr>
              <w:t>Net Profit/(Loss) attributable to ordinary shareholders (RM’000)</w:t>
            </w:r>
          </w:p>
          <w:p w:rsidR="006A6889" w:rsidRDefault="006A6889">
            <w:pPr>
              <w:spacing w:line="100" w:lineRule="atLeast"/>
              <w:jc w:val="both"/>
              <w:rPr>
                <w:sz w:val="21"/>
                <w:szCs w:val="21"/>
              </w:rPr>
            </w:pPr>
          </w:p>
        </w:tc>
        <w:tc>
          <w:tcPr>
            <w:tcW w:w="1442" w:type="dxa"/>
            <w:hideMark/>
          </w:tcPr>
          <w:p w:rsidR="006A6889" w:rsidRDefault="008E307E">
            <w:pPr>
              <w:pStyle w:val="StyleRight"/>
              <w:spacing w:line="100" w:lineRule="atLeast"/>
              <w:rPr>
                <w:szCs w:val="22"/>
              </w:rPr>
            </w:pPr>
            <w:r>
              <w:rPr>
                <w:sz w:val="21"/>
                <w:szCs w:val="21"/>
              </w:rPr>
              <w:t xml:space="preserve">   (2,017</w:t>
            </w:r>
            <w:r w:rsidR="006A6889">
              <w:rPr>
                <w:sz w:val="21"/>
                <w:szCs w:val="21"/>
              </w:rPr>
              <w:t>)</w:t>
            </w:r>
          </w:p>
        </w:tc>
        <w:tc>
          <w:tcPr>
            <w:tcW w:w="1559" w:type="dxa"/>
            <w:hideMark/>
          </w:tcPr>
          <w:p w:rsidR="006A6889" w:rsidRDefault="008E307E">
            <w:pPr>
              <w:pStyle w:val="StyleRight"/>
              <w:spacing w:line="100" w:lineRule="atLeast"/>
            </w:pPr>
            <w:r>
              <w:rPr>
                <w:szCs w:val="22"/>
              </w:rPr>
              <w:t xml:space="preserve">  (8,372</w:t>
            </w:r>
            <w:r w:rsidR="006A6889">
              <w:rPr>
                <w:szCs w:val="22"/>
              </w:rPr>
              <w:t>)</w:t>
            </w:r>
          </w:p>
        </w:tc>
      </w:tr>
      <w:tr w:rsidR="006A6889" w:rsidTr="006A6889">
        <w:tc>
          <w:tcPr>
            <w:tcW w:w="5493" w:type="dxa"/>
          </w:tcPr>
          <w:p w:rsidR="006A6889" w:rsidRDefault="006A6889">
            <w:pPr>
              <w:spacing w:line="100" w:lineRule="atLeast"/>
              <w:jc w:val="both"/>
              <w:rPr>
                <w:sz w:val="21"/>
                <w:szCs w:val="21"/>
              </w:rPr>
            </w:pPr>
            <w:r>
              <w:rPr>
                <w:sz w:val="21"/>
                <w:szCs w:val="21"/>
              </w:rPr>
              <w:t>Weighted Average Number of ordinary shares issued (’000)</w:t>
            </w:r>
          </w:p>
          <w:p w:rsidR="006A6889" w:rsidRDefault="006A6889">
            <w:pPr>
              <w:spacing w:line="100" w:lineRule="atLeast"/>
              <w:jc w:val="both"/>
              <w:rPr>
                <w:sz w:val="21"/>
                <w:szCs w:val="21"/>
              </w:rPr>
            </w:pPr>
          </w:p>
        </w:tc>
        <w:tc>
          <w:tcPr>
            <w:tcW w:w="1442" w:type="dxa"/>
            <w:hideMark/>
          </w:tcPr>
          <w:p w:rsidR="006A6889" w:rsidRDefault="006A6889">
            <w:pPr>
              <w:pStyle w:val="StyleRight"/>
              <w:spacing w:line="100" w:lineRule="atLeast"/>
              <w:rPr>
                <w:szCs w:val="22"/>
              </w:rPr>
            </w:pPr>
            <w:r>
              <w:rPr>
                <w:sz w:val="21"/>
                <w:szCs w:val="21"/>
              </w:rPr>
              <w:t xml:space="preserve">    89,905</w:t>
            </w:r>
          </w:p>
        </w:tc>
        <w:tc>
          <w:tcPr>
            <w:tcW w:w="1559" w:type="dxa"/>
            <w:hideMark/>
          </w:tcPr>
          <w:p w:rsidR="006A6889" w:rsidRDefault="006A6889">
            <w:pPr>
              <w:pStyle w:val="StyleRight"/>
              <w:spacing w:line="100" w:lineRule="atLeast"/>
            </w:pPr>
            <w:r>
              <w:rPr>
                <w:szCs w:val="22"/>
              </w:rPr>
              <w:t xml:space="preserve">    89,905</w:t>
            </w:r>
          </w:p>
        </w:tc>
      </w:tr>
      <w:tr w:rsidR="006A6889" w:rsidTr="006A6889">
        <w:tc>
          <w:tcPr>
            <w:tcW w:w="5493" w:type="dxa"/>
            <w:hideMark/>
          </w:tcPr>
          <w:p w:rsidR="006A6889" w:rsidRDefault="006A6889">
            <w:pPr>
              <w:spacing w:line="100" w:lineRule="atLeast"/>
              <w:jc w:val="both"/>
              <w:rPr>
                <w:sz w:val="21"/>
                <w:szCs w:val="21"/>
              </w:rPr>
            </w:pPr>
            <w:r>
              <w:rPr>
                <w:sz w:val="21"/>
                <w:szCs w:val="21"/>
              </w:rPr>
              <w:t>Basic Profit/(Loss) per ordinary share (Sen)</w:t>
            </w:r>
          </w:p>
        </w:tc>
        <w:tc>
          <w:tcPr>
            <w:tcW w:w="1442" w:type="dxa"/>
            <w:hideMark/>
          </w:tcPr>
          <w:p w:rsidR="006A6889" w:rsidRDefault="006A6889">
            <w:pPr>
              <w:pStyle w:val="StyleRight"/>
              <w:spacing w:line="100" w:lineRule="atLeast"/>
              <w:rPr>
                <w:szCs w:val="22"/>
              </w:rPr>
            </w:pPr>
            <w:r>
              <w:rPr>
                <w:sz w:val="21"/>
                <w:szCs w:val="21"/>
              </w:rPr>
              <w:t xml:space="preserve">      </w:t>
            </w:r>
            <w:r w:rsidR="00527CF0">
              <w:rPr>
                <w:sz w:val="21"/>
                <w:szCs w:val="21"/>
              </w:rPr>
              <w:t>(</w:t>
            </w:r>
            <w:r w:rsidR="00461FB5">
              <w:rPr>
                <w:sz w:val="21"/>
                <w:szCs w:val="21"/>
              </w:rPr>
              <w:t>2.2</w:t>
            </w:r>
            <w:r>
              <w:rPr>
                <w:sz w:val="21"/>
                <w:szCs w:val="21"/>
              </w:rPr>
              <w:t>)</w:t>
            </w:r>
          </w:p>
        </w:tc>
        <w:tc>
          <w:tcPr>
            <w:tcW w:w="1559" w:type="dxa"/>
            <w:hideMark/>
          </w:tcPr>
          <w:p w:rsidR="006A6889" w:rsidRDefault="006A6889">
            <w:pPr>
              <w:pStyle w:val="StyleRight"/>
              <w:spacing w:line="100" w:lineRule="atLeast"/>
            </w:pPr>
            <w:r>
              <w:rPr>
                <w:szCs w:val="22"/>
              </w:rPr>
              <w:t xml:space="preserve">     </w:t>
            </w:r>
            <w:r w:rsidR="00527CF0">
              <w:rPr>
                <w:szCs w:val="22"/>
              </w:rPr>
              <w:t>(</w:t>
            </w:r>
            <w:r w:rsidR="00461FB5">
              <w:rPr>
                <w:szCs w:val="22"/>
              </w:rPr>
              <w:t>9.3</w:t>
            </w:r>
            <w:r>
              <w:rPr>
                <w:szCs w:val="22"/>
              </w:rPr>
              <w:t>)</w:t>
            </w:r>
          </w:p>
        </w:tc>
      </w:tr>
    </w:tbl>
    <w:p w:rsidR="006A6889" w:rsidRDefault="006A6889" w:rsidP="006A6889">
      <w:pPr>
        <w:spacing w:line="100" w:lineRule="atLeast"/>
        <w:jc w:val="both"/>
      </w:pPr>
    </w:p>
    <w:p w:rsidR="004B45AB" w:rsidRDefault="004B45AB"/>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p w:rsidR="008E307E" w:rsidRDefault="008E307E"/>
    <w:sectPr w:rsidR="008E307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53" w:rsidRDefault="00165853" w:rsidP="006A6889">
      <w:r>
        <w:separator/>
      </w:r>
    </w:p>
  </w:endnote>
  <w:endnote w:type="continuationSeparator" w:id="0">
    <w:p w:rsidR="00165853" w:rsidRDefault="00165853" w:rsidP="006A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53" w:rsidRDefault="00165853" w:rsidP="006A6889">
      <w:r>
        <w:separator/>
      </w:r>
    </w:p>
  </w:footnote>
  <w:footnote w:type="continuationSeparator" w:id="0">
    <w:p w:rsidR="00165853" w:rsidRDefault="00165853" w:rsidP="006A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89" w:rsidRPr="006A6889" w:rsidRDefault="006A6889" w:rsidP="006A6889">
    <w:pPr>
      <w:pStyle w:val="Header"/>
      <w:jc w:val="center"/>
      <w:rPr>
        <w:b/>
        <w:sz w:val="28"/>
        <w:szCs w:val="28"/>
      </w:rPr>
    </w:pPr>
    <w:r w:rsidRPr="006A6889">
      <w:rPr>
        <w:b/>
        <w:sz w:val="32"/>
        <w:szCs w:val="28"/>
      </w:rPr>
      <w:t xml:space="preserve">STONE MASTER CORPORATION BERHAD </w:t>
    </w:r>
    <w:r w:rsidRPr="006A6889">
      <w:rPr>
        <w:b/>
        <w:i/>
        <w:iCs/>
        <w:szCs w:val="28"/>
      </w:rPr>
      <w:t>(Company No. 498639-X)</w:t>
    </w:r>
  </w:p>
  <w:p w:rsidR="006A6889" w:rsidRPr="006A6889" w:rsidRDefault="006A6889" w:rsidP="006A6889">
    <w:pPr>
      <w:pStyle w:val="Header"/>
      <w:jc w:val="center"/>
      <w:rPr>
        <w:b/>
        <w:sz w:val="24"/>
        <w:szCs w:val="28"/>
      </w:rPr>
    </w:pPr>
    <w:r w:rsidRPr="006A6889">
      <w:rPr>
        <w:b/>
        <w:sz w:val="24"/>
        <w:szCs w:val="28"/>
      </w:rPr>
      <w:t>QUARTERLY REPORT ON CONSOLIDATED RESULTS</w:t>
    </w:r>
  </w:p>
  <w:p w:rsidR="006A6889" w:rsidRPr="006A6889" w:rsidRDefault="006A6889" w:rsidP="006A6889">
    <w:pPr>
      <w:pStyle w:val="Header"/>
      <w:jc w:val="center"/>
      <w:rPr>
        <w:b/>
        <w:sz w:val="24"/>
        <w:szCs w:val="28"/>
      </w:rPr>
    </w:pPr>
    <w:r w:rsidRPr="006A6889">
      <w:rPr>
        <w:b/>
        <w:sz w:val="24"/>
        <w:szCs w:val="28"/>
      </w:rPr>
      <w:t>FO</w:t>
    </w:r>
    <w:r w:rsidR="00484B43">
      <w:rPr>
        <w:b/>
        <w:sz w:val="24"/>
        <w:szCs w:val="28"/>
      </w:rPr>
      <w:t>R THE FINANCIAL QUARTER ENDED 30</w:t>
    </w:r>
    <w:r w:rsidR="00484B43" w:rsidRPr="00484B43">
      <w:rPr>
        <w:b/>
        <w:sz w:val="24"/>
        <w:szCs w:val="28"/>
        <w:vertAlign w:val="superscript"/>
      </w:rPr>
      <w:t>th</w:t>
    </w:r>
    <w:r w:rsidR="00484B43">
      <w:rPr>
        <w:b/>
        <w:sz w:val="24"/>
        <w:szCs w:val="28"/>
      </w:rPr>
      <w:t xml:space="preserve"> SEPTEMBER</w:t>
    </w:r>
    <w:r w:rsidRPr="006A6889">
      <w:rPr>
        <w:b/>
        <w:sz w:val="24"/>
        <w:szCs w:val="28"/>
      </w:rPr>
      <w:t xml:space="preserve"> 2015</w:t>
    </w:r>
  </w:p>
  <w:p w:rsidR="006A6889" w:rsidRPr="006A6889" w:rsidRDefault="006A6889" w:rsidP="006A688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720"/>
      </w:pPr>
      <w:rPr>
        <w:b/>
        <w:sz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720"/>
      </w:pPr>
      <w:rPr>
        <w:b/>
        <w:sz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lowerRoman"/>
      <w:lvlText w:val="%1)"/>
      <w:lvlJc w:val="left"/>
      <w:pPr>
        <w:tabs>
          <w:tab w:val="num" w:pos="0"/>
        </w:tabs>
        <w:ind w:left="1488" w:hanging="720"/>
      </w:pPr>
      <w:rPr>
        <w:bCs/>
        <w:sz w:val="22"/>
        <w:szCs w:val="22"/>
      </w:rPr>
    </w:lvl>
    <w:lvl w:ilvl="1">
      <w:start w:val="1"/>
      <w:numFmt w:val="lowerLetter"/>
      <w:lvlText w:val="%2."/>
      <w:lvlJc w:val="left"/>
      <w:pPr>
        <w:tabs>
          <w:tab w:val="num" w:pos="0"/>
        </w:tabs>
        <w:ind w:left="1848" w:hanging="360"/>
      </w:pPr>
    </w:lvl>
    <w:lvl w:ilvl="2">
      <w:start w:val="1"/>
      <w:numFmt w:val="lowerRoman"/>
      <w:lvlText w:val="%2.%3."/>
      <w:lvlJc w:val="right"/>
      <w:pPr>
        <w:tabs>
          <w:tab w:val="num" w:pos="0"/>
        </w:tabs>
        <w:ind w:left="2568" w:hanging="180"/>
      </w:pPr>
    </w:lvl>
    <w:lvl w:ilvl="3">
      <w:start w:val="1"/>
      <w:numFmt w:val="decimal"/>
      <w:lvlText w:val="%2.%3.%4."/>
      <w:lvlJc w:val="left"/>
      <w:pPr>
        <w:tabs>
          <w:tab w:val="num" w:pos="0"/>
        </w:tabs>
        <w:ind w:left="3288" w:hanging="360"/>
      </w:pPr>
    </w:lvl>
    <w:lvl w:ilvl="4">
      <w:start w:val="1"/>
      <w:numFmt w:val="lowerLetter"/>
      <w:lvlText w:val="%2.%3.%4.%5."/>
      <w:lvlJc w:val="left"/>
      <w:pPr>
        <w:tabs>
          <w:tab w:val="num" w:pos="0"/>
        </w:tabs>
        <w:ind w:left="4008" w:hanging="360"/>
      </w:pPr>
    </w:lvl>
    <w:lvl w:ilvl="5">
      <w:start w:val="1"/>
      <w:numFmt w:val="lowerRoman"/>
      <w:lvlText w:val="%2.%3.%4.%5.%6."/>
      <w:lvlJc w:val="right"/>
      <w:pPr>
        <w:tabs>
          <w:tab w:val="num" w:pos="0"/>
        </w:tabs>
        <w:ind w:left="4728" w:hanging="180"/>
      </w:pPr>
    </w:lvl>
    <w:lvl w:ilvl="6">
      <w:start w:val="1"/>
      <w:numFmt w:val="decimal"/>
      <w:lvlText w:val="%2.%3.%4.%5.%6.%7."/>
      <w:lvlJc w:val="left"/>
      <w:pPr>
        <w:tabs>
          <w:tab w:val="num" w:pos="0"/>
        </w:tabs>
        <w:ind w:left="5448" w:hanging="360"/>
      </w:pPr>
    </w:lvl>
    <w:lvl w:ilvl="7">
      <w:start w:val="1"/>
      <w:numFmt w:val="lowerLetter"/>
      <w:lvlText w:val="%2.%3.%4.%5.%6.%7.%8."/>
      <w:lvlJc w:val="left"/>
      <w:pPr>
        <w:tabs>
          <w:tab w:val="num" w:pos="0"/>
        </w:tabs>
        <w:ind w:left="6168" w:hanging="360"/>
      </w:pPr>
    </w:lvl>
    <w:lvl w:ilvl="8">
      <w:start w:val="1"/>
      <w:numFmt w:val="lowerRoman"/>
      <w:lvlText w:val="%2.%3.%4.%5.%6.%7.%8.%9."/>
      <w:lvlJc w:val="right"/>
      <w:pPr>
        <w:tabs>
          <w:tab w:val="num" w:pos="0"/>
        </w:tabs>
        <w:ind w:left="6888" w:hanging="180"/>
      </w:pPr>
    </w:lvl>
  </w:abstractNum>
  <w:abstractNum w:abstractNumId="3">
    <w:nsid w:val="7E9456C9"/>
    <w:multiLevelType w:val="hybridMultilevel"/>
    <w:tmpl w:val="52AE2EE8"/>
    <w:lvl w:ilvl="0" w:tplc="3FC48D4E">
      <w:numFmt w:val="bullet"/>
      <w:lvlText w:val="-"/>
      <w:lvlJc w:val="left"/>
      <w:pPr>
        <w:ind w:left="420" w:hanging="360"/>
      </w:pPr>
      <w:rPr>
        <w:rFonts w:ascii="Times New Roman" w:eastAsia="Times New Roman" w:hAnsi="Times New Roman" w:cs="Times New Roman" w:hint="default"/>
      </w:rPr>
    </w:lvl>
    <w:lvl w:ilvl="1" w:tplc="44090003" w:tentative="1">
      <w:start w:val="1"/>
      <w:numFmt w:val="bullet"/>
      <w:lvlText w:val="o"/>
      <w:lvlJc w:val="left"/>
      <w:pPr>
        <w:ind w:left="1140" w:hanging="360"/>
      </w:pPr>
      <w:rPr>
        <w:rFonts w:ascii="Courier New" w:hAnsi="Courier New" w:cs="Courier New" w:hint="default"/>
      </w:rPr>
    </w:lvl>
    <w:lvl w:ilvl="2" w:tplc="44090005" w:tentative="1">
      <w:start w:val="1"/>
      <w:numFmt w:val="bullet"/>
      <w:lvlText w:val=""/>
      <w:lvlJc w:val="left"/>
      <w:pPr>
        <w:ind w:left="1860" w:hanging="360"/>
      </w:pPr>
      <w:rPr>
        <w:rFonts w:ascii="Wingdings" w:hAnsi="Wingdings" w:hint="default"/>
      </w:rPr>
    </w:lvl>
    <w:lvl w:ilvl="3" w:tplc="44090001" w:tentative="1">
      <w:start w:val="1"/>
      <w:numFmt w:val="bullet"/>
      <w:lvlText w:val=""/>
      <w:lvlJc w:val="left"/>
      <w:pPr>
        <w:ind w:left="2580" w:hanging="360"/>
      </w:pPr>
      <w:rPr>
        <w:rFonts w:ascii="Symbol" w:hAnsi="Symbol" w:hint="default"/>
      </w:rPr>
    </w:lvl>
    <w:lvl w:ilvl="4" w:tplc="44090003" w:tentative="1">
      <w:start w:val="1"/>
      <w:numFmt w:val="bullet"/>
      <w:lvlText w:val="o"/>
      <w:lvlJc w:val="left"/>
      <w:pPr>
        <w:ind w:left="3300" w:hanging="360"/>
      </w:pPr>
      <w:rPr>
        <w:rFonts w:ascii="Courier New" w:hAnsi="Courier New" w:cs="Courier New" w:hint="default"/>
      </w:rPr>
    </w:lvl>
    <w:lvl w:ilvl="5" w:tplc="44090005" w:tentative="1">
      <w:start w:val="1"/>
      <w:numFmt w:val="bullet"/>
      <w:lvlText w:val=""/>
      <w:lvlJc w:val="left"/>
      <w:pPr>
        <w:ind w:left="4020" w:hanging="360"/>
      </w:pPr>
      <w:rPr>
        <w:rFonts w:ascii="Wingdings" w:hAnsi="Wingdings" w:hint="default"/>
      </w:rPr>
    </w:lvl>
    <w:lvl w:ilvl="6" w:tplc="44090001" w:tentative="1">
      <w:start w:val="1"/>
      <w:numFmt w:val="bullet"/>
      <w:lvlText w:val=""/>
      <w:lvlJc w:val="left"/>
      <w:pPr>
        <w:ind w:left="4740" w:hanging="360"/>
      </w:pPr>
      <w:rPr>
        <w:rFonts w:ascii="Symbol" w:hAnsi="Symbol" w:hint="default"/>
      </w:rPr>
    </w:lvl>
    <w:lvl w:ilvl="7" w:tplc="44090003" w:tentative="1">
      <w:start w:val="1"/>
      <w:numFmt w:val="bullet"/>
      <w:lvlText w:val="o"/>
      <w:lvlJc w:val="left"/>
      <w:pPr>
        <w:ind w:left="5460" w:hanging="360"/>
      </w:pPr>
      <w:rPr>
        <w:rFonts w:ascii="Courier New" w:hAnsi="Courier New" w:cs="Courier New" w:hint="default"/>
      </w:rPr>
    </w:lvl>
    <w:lvl w:ilvl="8" w:tplc="44090005" w:tentative="1">
      <w:start w:val="1"/>
      <w:numFmt w:val="bullet"/>
      <w:lvlText w:val=""/>
      <w:lvlJc w:val="left"/>
      <w:pPr>
        <w:ind w:left="61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9"/>
    <w:rsid w:val="000037B8"/>
    <w:rsid w:val="00064AD5"/>
    <w:rsid w:val="00075A8C"/>
    <w:rsid w:val="000A2E1F"/>
    <w:rsid w:val="000F2110"/>
    <w:rsid w:val="0010288E"/>
    <w:rsid w:val="00165853"/>
    <w:rsid w:val="001721A8"/>
    <w:rsid w:val="001F27BC"/>
    <w:rsid w:val="0020167C"/>
    <w:rsid w:val="00201986"/>
    <w:rsid w:val="002516E0"/>
    <w:rsid w:val="00267ED6"/>
    <w:rsid w:val="00284D80"/>
    <w:rsid w:val="002B212D"/>
    <w:rsid w:val="002C25D2"/>
    <w:rsid w:val="00384DDA"/>
    <w:rsid w:val="00391CDE"/>
    <w:rsid w:val="003D5726"/>
    <w:rsid w:val="003E30EB"/>
    <w:rsid w:val="003E6948"/>
    <w:rsid w:val="00420002"/>
    <w:rsid w:val="0044662C"/>
    <w:rsid w:val="00461FB5"/>
    <w:rsid w:val="004672C5"/>
    <w:rsid w:val="00484B43"/>
    <w:rsid w:val="004B45AB"/>
    <w:rsid w:val="00527CF0"/>
    <w:rsid w:val="0053459B"/>
    <w:rsid w:val="005A3636"/>
    <w:rsid w:val="00614583"/>
    <w:rsid w:val="00635D4B"/>
    <w:rsid w:val="006621A7"/>
    <w:rsid w:val="00665ED5"/>
    <w:rsid w:val="00677AF0"/>
    <w:rsid w:val="00697399"/>
    <w:rsid w:val="006A6889"/>
    <w:rsid w:val="006E5EC8"/>
    <w:rsid w:val="00733295"/>
    <w:rsid w:val="007828F1"/>
    <w:rsid w:val="007B4482"/>
    <w:rsid w:val="007D2924"/>
    <w:rsid w:val="007E0800"/>
    <w:rsid w:val="007E5FB0"/>
    <w:rsid w:val="00832F29"/>
    <w:rsid w:val="00843E12"/>
    <w:rsid w:val="008D1CD9"/>
    <w:rsid w:val="008D3740"/>
    <w:rsid w:val="008E307E"/>
    <w:rsid w:val="0095010A"/>
    <w:rsid w:val="00952655"/>
    <w:rsid w:val="009F239B"/>
    <w:rsid w:val="00A00F33"/>
    <w:rsid w:val="00BB6769"/>
    <w:rsid w:val="00BB700E"/>
    <w:rsid w:val="00BC3108"/>
    <w:rsid w:val="00BF050F"/>
    <w:rsid w:val="00CE25E9"/>
    <w:rsid w:val="00D11E08"/>
    <w:rsid w:val="00D9030C"/>
    <w:rsid w:val="00DB6F42"/>
    <w:rsid w:val="00DD0D90"/>
    <w:rsid w:val="00DD3D29"/>
    <w:rsid w:val="00E00316"/>
    <w:rsid w:val="00E97DC9"/>
    <w:rsid w:val="00ED5E03"/>
    <w:rsid w:val="00F067DB"/>
    <w:rsid w:val="00F46FDA"/>
    <w:rsid w:val="00FE7AC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9"/>
    <w:pPr>
      <w:suppressAutoHyphens/>
      <w:spacing w:after="0" w:line="240" w:lineRule="auto"/>
    </w:pPr>
    <w:rPr>
      <w:rFonts w:ascii="Times New Roman" w:eastAsia="Times New Roman" w:hAnsi="Times New Roman" w:cs="Times New Roman"/>
      <w:sz w:val="20"/>
      <w:szCs w:val="20"/>
      <w:lang w:val="en-US" w:eastAsia="ar-SA"/>
    </w:rPr>
  </w:style>
  <w:style w:type="paragraph" w:styleId="Heading3">
    <w:name w:val="heading 3"/>
    <w:basedOn w:val="Normal"/>
    <w:next w:val="Normal"/>
    <w:link w:val="Heading3Char"/>
    <w:uiPriority w:val="9"/>
    <w:semiHidden/>
    <w:unhideWhenUsed/>
    <w:qFormat/>
    <w:rsid w:val="006A688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BodyText"/>
    <w:link w:val="Heading5Char"/>
    <w:semiHidden/>
    <w:unhideWhenUsed/>
    <w:qFormat/>
    <w:rsid w:val="006A6889"/>
    <w:pPr>
      <w:keepNext/>
      <w:numPr>
        <w:ilvl w:val="4"/>
        <w:numId w:val="2"/>
      </w:numPr>
      <w:ind w:left="720" w:firstLine="0"/>
      <w:jc w:val="both"/>
      <w:outlineLvl w:val="4"/>
    </w:pPr>
    <w:rPr>
      <w:b/>
      <w:bCs/>
      <w:sz w:val="22"/>
    </w:rPr>
  </w:style>
  <w:style w:type="paragraph" w:styleId="Heading9">
    <w:name w:val="heading 9"/>
    <w:basedOn w:val="Normal"/>
    <w:next w:val="BodyText"/>
    <w:link w:val="Heading9Char"/>
    <w:semiHidden/>
    <w:unhideWhenUsed/>
    <w:qFormat/>
    <w:rsid w:val="006A6889"/>
    <w:pPr>
      <w:keepNext/>
      <w:tabs>
        <w:tab w:val="num" w:pos="360"/>
      </w:tabs>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A6889"/>
    <w:rPr>
      <w:rFonts w:ascii="Times New Roman" w:eastAsia="Times New Roman" w:hAnsi="Times New Roman" w:cs="Times New Roman"/>
      <w:b/>
      <w:bCs/>
      <w:szCs w:val="20"/>
      <w:lang w:val="en-US" w:eastAsia="ar-SA"/>
    </w:rPr>
  </w:style>
  <w:style w:type="character" w:customStyle="1" w:styleId="Heading9Char">
    <w:name w:val="Heading 9 Char"/>
    <w:basedOn w:val="DefaultParagraphFont"/>
    <w:link w:val="Heading9"/>
    <w:semiHidden/>
    <w:rsid w:val="006A6889"/>
    <w:rPr>
      <w:rFonts w:ascii="Times New Roman" w:eastAsia="Times New Roman" w:hAnsi="Times New Roman" w:cs="Times New Roman"/>
      <w:b/>
      <w:szCs w:val="20"/>
      <w:lang w:val="en-US" w:eastAsia="ar-SA"/>
    </w:rPr>
  </w:style>
  <w:style w:type="paragraph" w:styleId="Footer">
    <w:name w:val="footer"/>
    <w:basedOn w:val="Normal"/>
    <w:link w:val="FooterChar"/>
    <w:unhideWhenUsed/>
    <w:rsid w:val="006A6889"/>
    <w:pPr>
      <w:suppressLineNumbers/>
      <w:tabs>
        <w:tab w:val="center" w:pos="4320"/>
        <w:tab w:val="right" w:pos="8640"/>
      </w:tabs>
    </w:pPr>
  </w:style>
  <w:style w:type="character" w:customStyle="1" w:styleId="FooterChar">
    <w:name w:val="Footer Char"/>
    <w:basedOn w:val="DefaultParagraphFont"/>
    <w:link w:val="Footer"/>
    <w:rsid w:val="006A6889"/>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semiHidden/>
    <w:unhideWhenUsed/>
    <w:rsid w:val="006A6889"/>
    <w:pPr>
      <w:ind w:left="720" w:hanging="720"/>
      <w:jc w:val="both"/>
    </w:pPr>
    <w:rPr>
      <w:b/>
      <w:color w:val="000000"/>
      <w:sz w:val="22"/>
      <w:szCs w:val="22"/>
    </w:rPr>
  </w:style>
  <w:style w:type="character" w:customStyle="1" w:styleId="BodyTextIndentChar">
    <w:name w:val="Body Text Indent Char"/>
    <w:basedOn w:val="DefaultParagraphFont"/>
    <w:link w:val="BodyTextIndent"/>
    <w:semiHidden/>
    <w:rsid w:val="006A6889"/>
    <w:rPr>
      <w:rFonts w:ascii="Times New Roman" w:eastAsia="Times New Roman" w:hAnsi="Times New Roman" w:cs="Times New Roman"/>
      <w:b/>
      <w:color w:val="000000"/>
      <w:lang w:val="en-US" w:eastAsia="ar-SA"/>
    </w:rPr>
  </w:style>
  <w:style w:type="paragraph" w:styleId="BodyTextIndent2">
    <w:name w:val="Body Text Indent 2"/>
    <w:basedOn w:val="Normal"/>
    <w:link w:val="BodyTextIndent2Char"/>
    <w:unhideWhenUsed/>
    <w:rsid w:val="006A6889"/>
    <w:pPr>
      <w:ind w:left="720"/>
      <w:jc w:val="both"/>
    </w:pPr>
    <w:rPr>
      <w:color w:val="000000"/>
      <w:sz w:val="22"/>
    </w:rPr>
  </w:style>
  <w:style w:type="character" w:customStyle="1" w:styleId="BodyTextIndent2Char">
    <w:name w:val="Body Text Indent 2 Char"/>
    <w:basedOn w:val="DefaultParagraphFont"/>
    <w:link w:val="BodyTextIndent2"/>
    <w:rsid w:val="006A6889"/>
    <w:rPr>
      <w:rFonts w:ascii="Times New Roman" w:eastAsia="Times New Roman" w:hAnsi="Times New Roman" w:cs="Times New Roman"/>
      <w:color w:val="000000"/>
      <w:szCs w:val="20"/>
      <w:lang w:val="en-US" w:eastAsia="ar-SA"/>
    </w:rPr>
  </w:style>
  <w:style w:type="paragraph" w:styleId="BodyTextIndent3">
    <w:name w:val="Body Text Indent 3"/>
    <w:basedOn w:val="Normal"/>
    <w:link w:val="BodyTextIndent3Char"/>
    <w:semiHidden/>
    <w:unhideWhenUsed/>
    <w:rsid w:val="006A6889"/>
    <w:pPr>
      <w:ind w:left="720" w:hanging="720"/>
      <w:jc w:val="both"/>
    </w:pPr>
    <w:rPr>
      <w:color w:val="000000"/>
      <w:sz w:val="22"/>
    </w:rPr>
  </w:style>
  <w:style w:type="character" w:customStyle="1" w:styleId="BodyTextIndent3Char">
    <w:name w:val="Body Text Indent 3 Char"/>
    <w:basedOn w:val="DefaultParagraphFont"/>
    <w:link w:val="BodyTextIndent3"/>
    <w:semiHidden/>
    <w:rsid w:val="006A6889"/>
    <w:rPr>
      <w:rFonts w:ascii="Times New Roman" w:eastAsia="Times New Roman" w:hAnsi="Times New Roman" w:cs="Times New Roman"/>
      <w:color w:val="000000"/>
      <w:szCs w:val="20"/>
      <w:lang w:val="en-US" w:eastAsia="ar-SA"/>
    </w:rPr>
  </w:style>
  <w:style w:type="paragraph" w:styleId="ListParagraph">
    <w:name w:val="List Paragraph"/>
    <w:basedOn w:val="Normal"/>
    <w:qFormat/>
    <w:rsid w:val="006A6889"/>
    <w:pPr>
      <w:ind w:left="720"/>
    </w:pPr>
  </w:style>
  <w:style w:type="paragraph" w:customStyle="1" w:styleId="StyleRight">
    <w:name w:val="Style Right"/>
    <w:basedOn w:val="Footer"/>
    <w:rsid w:val="006A6889"/>
    <w:pPr>
      <w:jc w:val="right"/>
    </w:pPr>
  </w:style>
  <w:style w:type="paragraph" w:styleId="BodyText">
    <w:name w:val="Body Text"/>
    <w:basedOn w:val="Normal"/>
    <w:link w:val="BodyTextChar"/>
    <w:uiPriority w:val="99"/>
    <w:semiHidden/>
    <w:unhideWhenUsed/>
    <w:rsid w:val="006A6889"/>
    <w:pPr>
      <w:spacing w:after="120"/>
    </w:pPr>
  </w:style>
  <w:style w:type="character" w:customStyle="1" w:styleId="BodyTextChar">
    <w:name w:val="Body Text Char"/>
    <w:basedOn w:val="DefaultParagraphFont"/>
    <w:link w:val="BodyText"/>
    <w:uiPriority w:val="99"/>
    <w:semiHidden/>
    <w:rsid w:val="006A6889"/>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unhideWhenUsed/>
    <w:rsid w:val="006A6889"/>
    <w:pPr>
      <w:tabs>
        <w:tab w:val="center" w:pos="4513"/>
        <w:tab w:val="right" w:pos="9026"/>
      </w:tabs>
    </w:pPr>
  </w:style>
  <w:style w:type="character" w:customStyle="1" w:styleId="HeaderChar">
    <w:name w:val="Header Char"/>
    <w:basedOn w:val="DefaultParagraphFont"/>
    <w:link w:val="Header"/>
    <w:uiPriority w:val="99"/>
    <w:rsid w:val="006A6889"/>
    <w:rPr>
      <w:rFonts w:ascii="Times New Roman" w:eastAsia="Times New Roman" w:hAnsi="Times New Roman" w:cs="Times New Roman"/>
      <w:sz w:val="20"/>
      <w:szCs w:val="20"/>
      <w:lang w:val="en-US" w:eastAsia="ar-SA"/>
    </w:rPr>
  </w:style>
  <w:style w:type="character" w:customStyle="1" w:styleId="Heading3Char">
    <w:name w:val="Heading 3 Char"/>
    <w:basedOn w:val="DefaultParagraphFont"/>
    <w:link w:val="Heading3"/>
    <w:uiPriority w:val="9"/>
    <w:semiHidden/>
    <w:rsid w:val="006A6889"/>
    <w:rPr>
      <w:rFonts w:asciiTheme="majorHAnsi" w:eastAsiaTheme="majorEastAsia" w:hAnsiTheme="majorHAnsi" w:cstheme="majorBidi"/>
      <w:b/>
      <w:bCs/>
      <w:color w:val="4F81BD" w:themeColor="accent1"/>
      <w:sz w:val="20"/>
      <w:szCs w:val="20"/>
      <w:lang w:val="en-US" w:eastAsia="ar-SA"/>
    </w:rPr>
  </w:style>
  <w:style w:type="paragraph" w:styleId="BalloonText">
    <w:name w:val="Balloon Text"/>
    <w:basedOn w:val="Normal"/>
    <w:link w:val="BalloonTextChar"/>
    <w:uiPriority w:val="99"/>
    <w:semiHidden/>
    <w:unhideWhenUsed/>
    <w:rsid w:val="006621A7"/>
    <w:rPr>
      <w:rFonts w:ascii="Tahoma" w:hAnsi="Tahoma" w:cs="Tahoma"/>
      <w:sz w:val="16"/>
      <w:szCs w:val="16"/>
    </w:rPr>
  </w:style>
  <w:style w:type="character" w:customStyle="1" w:styleId="BalloonTextChar">
    <w:name w:val="Balloon Text Char"/>
    <w:basedOn w:val="DefaultParagraphFont"/>
    <w:link w:val="BalloonText"/>
    <w:uiPriority w:val="99"/>
    <w:semiHidden/>
    <w:rsid w:val="006621A7"/>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9"/>
    <w:pPr>
      <w:suppressAutoHyphens/>
      <w:spacing w:after="0" w:line="240" w:lineRule="auto"/>
    </w:pPr>
    <w:rPr>
      <w:rFonts w:ascii="Times New Roman" w:eastAsia="Times New Roman" w:hAnsi="Times New Roman" w:cs="Times New Roman"/>
      <w:sz w:val="20"/>
      <w:szCs w:val="20"/>
      <w:lang w:val="en-US" w:eastAsia="ar-SA"/>
    </w:rPr>
  </w:style>
  <w:style w:type="paragraph" w:styleId="Heading3">
    <w:name w:val="heading 3"/>
    <w:basedOn w:val="Normal"/>
    <w:next w:val="Normal"/>
    <w:link w:val="Heading3Char"/>
    <w:uiPriority w:val="9"/>
    <w:semiHidden/>
    <w:unhideWhenUsed/>
    <w:qFormat/>
    <w:rsid w:val="006A688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BodyText"/>
    <w:link w:val="Heading5Char"/>
    <w:semiHidden/>
    <w:unhideWhenUsed/>
    <w:qFormat/>
    <w:rsid w:val="006A6889"/>
    <w:pPr>
      <w:keepNext/>
      <w:numPr>
        <w:ilvl w:val="4"/>
        <w:numId w:val="2"/>
      </w:numPr>
      <w:ind w:left="720" w:firstLine="0"/>
      <w:jc w:val="both"/>
      <w:outlineLvl w:val="4"/>
    </w:pPr>
    <w:rPr>
      <w:b/>
      <w:bCs/>
      <w:sz w:val="22"/>
    </w:rPr>
  </w:style>
  <w:style w:type="paragraph" w:styleId="Heading9">
    <w:name w:val="heading 9"/>
    <w:basedOn w:val="Normal"/>
    <w:next w:val="BodyText"/>
    <w:link w:val="Heading9Char"/>
    <w:semiHidden/>
    <w:unhideWhenUsed/>
    <w:qFormat/>
    <w:rsid w:val="006A6889"/>
    <w:pPr>
      <w:keepNext/>
      <w:tabs>
        <w:tab w:val="num" w:pos="360"/>
      </w:tabs>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A6889"/>
    <w:rPr>
      <w:rFonts w:ascii="Times New Roman" w:eastAsia="Times New Roman" w:hAnsi="Times New Roman" w:cs="Times New Roman"/>
      <w:b/>
      <w:bCs/>
      <w:szCs w:val="20"/>
      <w:lang w:val="en-US" w:eastAsia="ar-SA"/>
    </w:rPr>
  </w:style>
  <w:style w:type="character" w:customStyle="1" w:styleId="Heading9Char">
    <w:name w:val="Heading 9 Char"/>
    <w:basedOn w:val="DefaultParagraphFont"/>
    <w:link w:val="Heading9"/>
    <w:semiHidden/>
    <w:rsid w:val="006A6889"/>
    <w:rPr>
      <w:rFonts w:ascii="Times New Roman" w:eastAsia="Times New Roman" w:hAnsi="Times New Roman" w:cs="Times New Roman"/>
      <w:b/>
      <w:szCs w:val="20"/>
      <w:lang w:val="en-US" w:eastAsia="ar-SA"/>
    </w:rPr>
  </w:style>
  <w:style w:type="paragraph" w:styleId="Footer">
    <w:name w:val="footer"/>
    <w:basedOn w:val="Normal"/>
    <w:link w:val="FooterChar"/>
    <w:unhideWhenUsed/>
    <w:rsid w:val="006A6889"/>
    <w:pPr>
      <w:suppressLineNumbers/>
      <w:tabs>
        <w:tab w:val="center" w:pos="4320"/>
        <w:tab w:val="right" w:pos="8640"/>
      </w:tabs>
    </w:pPr>
  </w:style>
  <w:style w:type="character" w:customStyle="1" w:styleId="FooterChar">
    <w:name w:val="Footer Char"/>
    <w:basedOn w:val="DefaultParagraphFont"/>
    <w:link w:val="Footer"/>
    <w:rsid w:val="006A6889"/>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semiHidden/>
    <w:unhideWhenUsed/>
    <w:rsid w:val="006A6889"/>
    <w:pPr>
      <w:ind w:left="720" w:hanging="720"/>
      <w:jc w:val="both"/>
    </w:pPr>
    <w:rPr>
      <w:b/>
      <w:color w:val="000000"/>
      <w:sz w:val="22"/>
      <w:szCs w:val="22"/>
    </w:rPr>
  </w:style>
  <w:style w:type="character" w:customStyle="1" w:styleId="BodyTextIndentChar">
    <w:name w:val="Body Text Indent Char"/>
    <w:basedOn w:val="DefaultParagraphFont"/>
    <w:link w:val="BodyTextIndent"/>
    <w:semiHidden/>
    <w:rsid w:val="006A6889"/>
    <w:rPr>
      <w:rFonts w:ascii="Times New Roman" w:eastAsia="Times New Roman" w:hAnsi="Times New Roman" w:cs="Times New Roman"/>
      <w:b/>
      <w:color w:val="000000"/>
      <w:lang w:val="en-US" w:eastAsia="ar-SA"/>
    </w:rPr>
  </w:style>
  <w:style w:type="paragraph" w:styleId="BodyTextIndent2">
    <w:name w:val="Body Text Indent 2"/>
    <w:basedOn w:val="Normal"/>
    <w:link w:val="BodyTextIndent2Char"/>
    <w:unhideWhenUsed/>
    <w:rsid w:val="006A6889"/>
    <w:pPr>
      <w:ind w:left="720"/>
      <w:jc w:val="both"/>
    </w:pPr>
    <w:rPr>
      <w:color w:val="000000"/>
      <w:sz w:val="22"/>
    </w:rPr>
  </w:style>
  <w:style w:type="character" w:customStyle="1" w:styleId="BodyTextIndent2Char">
    <w:name w:val="Body Text Indent 2 Char"/>
    <w:basedOn w:val="DefaultParagraphFont"/>
    <w:link w:val="BodyTextIndent2"/>
    <w:rsid w:val="006A6889"/>
    <w:rPr>
      <w:rFonts w:ascii="Times New Roman" w:eastAsia="Times New Roman" w:hAnsi="Times New Roman" w:cs="Times New Roman"/>
      <w:color w:val="000000"/>
      <w:szCs w:val="20"/>
      <w:lang w:val="en-US" w:eastAsia="ar-SA"/>
    </w:rPr>
  </w:style>
  <w:style w:type="paragraph" w:styleId="BodyTextIndent3">
    <w:name w:val="Body Text Indent 3"/>
    <w:basedOn w:val="Normal"/>
    <w:link w:val="BodyTextIndent3Char"/>
    <w:semiHidden/>
    <w:unhideWhenUsed/>
    <w:rsid w:val="006A6889"/>
    <w:pPr>
      <w:ind w:left="720" w:hanging="720"/>
      <w:jc w:val="both"/>
    </w:pPr>
    <w:rPr>
      <w:color w:val="000000"/>
      <w:sz w:val="22"/>
    </w:rPr>
  </w:style>
  <w:style w:type="character" w:customStyle="1" w:styleId="BodyTextIndent3Char">
    <w:name w:val="Body Text Indent 3 Char"/>
    <w:basedOn w:val="DefaultParagraphFont"/>
    <w:link w:val="BodyTextIndent3"/>
    <w:semiHidden/>
    <w:rsid w:val="006A6889"/>
    <w:rPr>
      <w:rFonts w:ascii="Times New Roman" w:eastAsia="Times New Roman" w:hAnsi="Times New Roman" w:cs="Times New Roman"/>
      <w:color w:val="000000"/>
      <w:szCs w:val="20"/>
      <w:lang w:val="en-US" w:eastAsia="ar-SA"/>
    </w:rPr>
  </w:style>
  <w:style w:type="paragraph" w:styleId="ListParagraph">
    <w:name w:val="List Paragraph"/>
    <w:basedOn w:val="Normal"/>
    <w:qFormat/>
    <w:rsid w:val="006A6889"/>
    <w:pPr>
      <w:ind w:left="720"/>
    </w:pPr>
  </w:style>
  <w:style w:type="paragraph" w:customStyle="1" w:styleId="StyleRight">
    <w:name w:val="Style Right"/>
    <w:basedOn w:val="Footer"/>
    <w:rsid w:val="006A6889"/>
    <w:pPr>
      <w:jc w:val="right"/>
    </w:pPr>
  </w:style>
  <w:style w:type="paragraph" w:styleId="BodyText">
    <w:name w:val="Body Text"/>
    <w:basedOn w:val="Normal"/>
    <w:link w:val="BodyTextChar"/>
    <w:uiPriority w:val="99"/>
    <w:semiHidden/>
    <w:unhideWhenUsed/>
    <w:rsid w:val="006A6889"/>
    <w:pPr>
      <w:spacing w:after="120"/>
    </w:pPr>
  </w:style>
  <w:style w:type="character" w:customStyle="1" w:styleId="BodyTextChar">
    <w:name w:val="Body Text Char"/>
    <w:basedOn w:val="DefaultParagraphFont"/>
    <w:link w:val="BodyText"/>
    <w:uiPriority w:val="99"/>
    <w:semiHidden/>
    <w:rsid w:val="006A6889"/>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unhideWhenUsed/>
    <w:rsid w:val="006A6889"/>
    <w:pPr>
      <w:tabs>
        <w:tab w:val="center" w:pos="4513"/>
        <w:tab w:val="right" w:pos="9026"/>
      </w:tabs>
    </w:pPr>
  </w:style>
  <w:style w:type="character" w:customStyle="1" w:styleId="HeaderChar">
    <w:name w:val="Header Char"/>
    <w:basedOn w:val="DefaultParagraphFont"/>
    <w:link w:val="Header"/>
    <w:uiPriority w:val="99"/>
    <w:rsid w:val="006A6889"/>
    <w:rPr>
      <w:rFonts w:ascii="Times New Roman" w:eastAsia="Times New Roman" w:hAnsi="Times New Roman" w:cs="Times New Roman"/>
      <w:sz w:val="20"/>
      <w:szCs w:val="20"/>
      <w:lang w:val="en-US" w:eastAsia="ar-SA"/>
    </w:rPr>
  </w:style>
  <w:style w:type="character" w:customStyle="1" w:styleId="Heading3Char">
    <w:name w:val="Heading 3 Char"/>
    <w:basedOn w:val="DefaultParagraphFont"/>
    <w:link w:val="Heading3"/>
    <w:uiPriority w:val="9"/>
    <w:semiHidden/>
    <w:rsid w:val="006A6889"/>
    <w:rPr>
      <w:rFonts w:asciiTheme="majorHAnsi" w:eastAsiaTheme="majorEastAsia" w:hAnsiTheme="majorHAnsi" w:cstheme="majorBidi"/>
      <w:b/>
      <w:bCs/>
      <w:color w:val="4F81BD" w:themeColor="accent1"/>
      <w:sz w:val="20"/>
      <w:szCs w:val="20"/>
      <w:lang w:val="en-US" w:eastAsia="ar-SA"/>
    </w:rPr>
  </w:style>
  <w:style w:type="paragraph" w:styleId="BalloonText">
    <w:name w:val="Balloon Text"/>
    <w:basedOn w:val="Normal"/>
    <w:link w:val="BalloonTextChar"/>
    <w:uiPriority w:val="99"/>
    <w:semiHidden/>
    <w:unhideWhenUsed/>
    <w:rsid w:val="006621A7"/>
    <w:rPr>
      <w:rFonts w:ascii="Tahoma" w:hAnsi="Tahoma" w:cs="Tahoma"/>
      <w:sz w:val="16"/>
      <w:szCs w:val="16"/>
    </w:rPr>
  </w:style>
  <w:style w:type="character" w:customStyle="1" w:styleId="BalloonTextChar">
    <w:name w:val="Balloon Text Char"/>
    <w:basedOn w:val="DefaultParagraphFont"/>
    <w:link w:val="BalloonText"/>
    <w:uiPriority w:val="99"/>
    <w:semiHidden/>
    <w:rsid w:val="006621A7"/>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0F39-573D-4B83-9DE2-ECC216FF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dc:creator>
  <cp:lastModifiedBy>Yong</cp:lastModifiedBy>
  <cp:revision>4</cp:revision>
  <cp:lastPrinted>2015-11-30T02:34:00Z</cp:lastPrinted>
  <dcterms:created xsi:type="dcterms:W3CDTF">2015-11-30T02:34:00Z</dcterms:created>
  <dcterms:modified xsi:type="dcterms:W3CDTF">2015-11-30T02:34:00Z</dcterms:modified>
</cp:coreProperties>
</file>